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HAnsi" w:hAnsiTheme="minorHAnsi" w:cstheme="minorBidi"/>
          <w:color w:val="333E48" w:themeColor="text1"/>
          <w:spacing w:val="0"/>
          <w:sz w:val="18"/>
          <w:szCs w:val="18"/>
        </w:rPr>
        <w:id w:val="205373862"/>
        <w:docPartObj>
          <w:docPartGallery w:val="Cover Pages"/>
          <w:docPartUnique/>
        </w:docPartObj>
      </w:sdtPr>
      <w:sdtEndPr>
        <w:rPr>
          <w:rFonts w:asciiTheme="majorHAnsi" w:eastAsiaTheme="majorEastAsia" w:hAnsiTheme="majorHAnsi" w:cstheme="majorBidi"/>
          <w:color w:val="004A88" w:themeColor="accent5"/>
          <w:spacing w:val="10"/>
          <w:sz w:val="40"/>
          <w:szCs w:val="32"/>
        </w:rPr>
      </w:sdtEndPr>
      <w:sdtContent>
        <w:p w:rsidR="00473677" w:rsidRDefault="00473677" w:rsidP="00473677">
          <w:pPr>
            <w:pStyle w:val="EABHeading1NotLinked"/>
          </w:pPr>
          <w:r w:rsidRPr="00473677">
            <w:t>Facilities Outsourcing Decision Worksheet</w:t>
          </w:r>
        </w:p>
      </w:sdtContent>
    </w:sdt>
    <w:p w:rsidR="00473677" w:rsidRPr="00473677" w:rsidRDefault="00473677" w:rsidP="00473677">
      <w:pPr>
        <w:pStyle w:val="ListNumber"/>
        <w:numPr>
          <w:ilvl w:val="0"/>
          <w:numId w:val="0"/>
        </w:numPr>
      </w:pPr>
      <w:r w:rsidRPr="00473677">
        <w:t xml:space="preserve">This tool guides senior leaders through the first step of a more comprehensive evaluation process to determine the viability of outsourcing a function or sub-function. To use this tool effectively, leaders must possess a basic understanding of the scope, responsibilities, costs, and activity of the function or sub-function in question. </w:t>
      </w:r>
    </w:p>
    <w:p w:rsidR="00D733D0" w:rsidRDefault="00473677" w:rsidP="00473677">
      <w:pPr>
        <w:pStyle w:val="ListNumber"/>
        <w:numPr>
          <w:ilvl w:val="0"/>
          <w:numId w:val="0"/>
        </w:numPr>
      </w:pPr>
      <w:r w:rsidRPr="00473677">
        <w:rPr>
          <w:b/>
        </w:rPr>
        <w:t>Directions</w:t>
      </w:r>
      <w:r w:rsidRPr="00473677">
        <w:t xml:space="preserve">: Score each of the 10 qualitative criteria based on the level of agreement with the statement, either zero (disagree), one (somewhat agree), or two (strongly agree). After scoring each criterion, record the answers on the scoring sheet on page </w:t>
      </w:r>
      <w:r w:rsidR="00E729FA">
        <w:t>3</w:t>
      </w:r>
      <w:r w:rsidRPr="00473677">
        <w:t xml:space="preserve"> and follow the directions to calculate a total weighted score. The final score corresponds to the function’s or sub-function’s outsourcing viability.</w:t>
      </w:r>
    </w:p>
    <w:p w:rsidR="00473677" w:rsidRDefault="00473677" w:rsidP="00473677">
      <w:pPr>
        <w:pStyle w:val="ListNumber"/>
        <w:numPr>
          <w:ilvl w:val="0"/>
          <w:numId w:val="0"/>
        </w:numPr>
      </w:pPr>
    </w:p>
    <w:tbl>
      <w:tblPr>
        <w:tblStyle w:val="EABStandardTable"/>
        <w:tblW w:w="10297" w:type="dxa"/>
        <w:tblCellMar>
          <w:top w:w="72" w:type="dxa"/>
          <w:bottom w:w="72" w:type="dxa"/>
        </w:tblCellMar>
        <w:tblLook w:val="04A0" w:firstRow="1" w:lastRow="0" w:firstColumn="1" w:lastColumn="0" w:noHBand="0" w:noVBand="1"/>
      </w:tblPr>
      <w:tblGrid>
        <w:gridCol w:w="2472"/>
        <w:gridCol w:w="2880"/>
        <w:gridCol w:w="1345"/>
        <w:gridCol w:w="3600"/>
      </w:tblGrid>
      <w:tr w:rsidR="00473677" w:rsidTr="004736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2" w:type="dxa"/>
            <w:vAlign w:val="center"/>
          </w:tcPr>
          <w:p w:rsidR="00473677" w:rsidRPr="00473677" w:rsidRDefault="00473677" w:rsidP="00473677">
            <w:pPr>
              <w:pStyle w:val="NormalWeb"/>
              <w:spacing w:beforeAutospacing="0" w:after="0" w:afterAutospacing="0"/>
              <w:jc w:val="center"/>
              <w:rPr>
                <w:rFonts w:ascii="Arial" w:hAnsi="Arial" w:cs="Arial"/>
                <w:sz w:val="36"/>
                <w:szCs w:val="36"/>
              </w:rPr>
            </w:pPr>
            <w:r w:rsidRPr="00473677">
              <w:rPr>
                <w:rFonts w:ascii="Verdana" w:hAnsi="Verdana" w:cs="Arial"/>
                <w:bCs/>
                <w:color w:val="FFFFFF" w:themeColor="light1"/>
                <w:kern w:val="24"/>
                <w:sz w:val="18"/>
                <w:szCs w:val="18"/>
              </w:rPr>
              <w:t>Criteria</w:t>
            </w:r>
          </w:p>
        </w:tc>
        <w:tc>
          <w:tcPr>
            <w:tcW w:w="2880" w:type="dxa"/>
            <w:vAlign w:val="center"/>
          </w:tcPr>
          <w:p w:rsidR="00473677" w:rsidRPr="00473677" w:rsidRDefault="00473677" w:rsidP="00473677">
            <w:pPr>
              <w:pStyle w:val="NormalWeb"/>
              <w:spacing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sz w:val="36"/>
                <w:szCs w:val="36"/>
              </w:rPr>
            </w:pPr>
            <w:r w:rsidRPr="00473677">
              <w:rPr>
                <w:rFonts w:ascii="Verdana" w:hAnsi="Verdana" w:cs="Arial"/>
                <w:bCs/>
                <w:color w:val="FFFFFF" w:themeColor="light1"/>
                <w:kern w:val="24"/>
                <w:sz w:val="18"/>
                <w:szCs w:val="18"/>
              </w:rPr>
              <w:t>Assessment</w:t>
            </w:r>
          </w:p>
        </w:tc>
        <w:tc>
          <w:tcPr>
            <w:tcW w:w="1345" w:type="dxa"/>
            <w:vAlign w:val="center"/>
          </w:tcPr>
          <w:p w:rsidR="00473677" w:rsidRPr="00473677" w:rsidRDefault="00473677" w:rsidP="00473677">
            <w:pPr>
              <w:pStyle w:val="NormalWeb"/>
              <w:spacing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sz w:val="36"/>
                <w:szCs w:val="36"/>
              </w:rPr>
            </w:pPr>
            <w:r w:rsidRPr="00473677">
              <w:rPr>
                <w:rFonts w:ascii="Verdana" w:hAnsi="Verdana" w:cs="Arial"/>
                <w:bCs/>
                <w:color w:val="FFFFFF" w:themeColor="light1"/>
                <w:kern w:val="24"/>
                <w:sz w:val="18"/>
                <w:szCs w:val="18"/>
              </w:rPr>
              <w:t>Agreement Score</w:t>
            </w:r>
          </w:p>
        </w:tc>
        <w:tc>
          <w:tcPr>
            <w:tcW w:w="3600" w:type="dxa"/>
            <w:vAlign w:val="center"/>
          </w:tcPr>
          <w:p w:rsidR="00473677" w:rsidRPr="00473677" w:rsidRDefault="00473677" w:rsidP="00473677">
            <w:pPr>
              <w:pStyle w:val="NormalWeb"/>
              <w:spacing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sz w:val="36"/>
                <w:szCs w:val="36"/>
              </w:rPr>
            </w:pPr>
            <w:r w:rsidRPr="00473677">
              <w:rPr>
                <w:rFonts w:ascii="Verdana" w:hAnsi="Verdana" w:cs="Arial"/>
                <w:bCs/>
                <w:color w:val="FFFFFF" w:themeColor="light1"/>
                <w:kern w:val="24"/>
                <w:sz w:val="18"/>
                <w:szCs w:val="18"/>
              </w:rPr>
              <w:t>Relevance to Outsourcing</w:t>
            </w:r>
          </w:p>
        </w:tc>
        <w:bookmarkStart w:id="0" w:name="_GoBack"/>
        <w:bookmarkEnd w:id="0"/>
      </w:tr>
      <w:tr w:rsidR="00473677" w:rsidTr="00473677">
        <w:trPr>
          <w:cnfStyle w:val="000000100000" w:firstRow="0" w:lastRow="0" w:firstColumn="0" w:lastColumn="0" w:oddVBand="0" w:evenVBand="0" w:oddHBand="1" w:evenHBand="0" w:firstRowFirstColumn="0" w:firstRowLastColumn="0" w:lastRowFirstColumn="0" w:lastRowLastColumn="0"/>
          <w:trHeight w:val="1728"/>
        </w:trPr>
        <w:tc>
          <w:tcPr>
            <w:cnfStyle w:val="001000000000" w:firstRow="0" w:lastRow="0" w:firstColumn="1" w:lastColumn="0" w:oddVBand="0" w:evenVBand="0" w:oddHBand="0" w:evenHBand="0" w:firstRowFirstColumn="0" w:firstRowLastColumn="0" w:lastRowFirstColumn="0" w:lastRowLastColumn="0"/>
            <w:tcW w:w="2472" w:type="dxa"/>
            <w:vAlign w:val="center"/>
          </w:tcPr>
          <w:p w:rsidR="00473677" w:rsidRDefault="00473677" w:rsidP="00473677">
            <w:pPr>
              <w:pStyle w:val="NormalWeb"/>
              <w:spacing w:beforeAutospacing="0" w:after="0" w:afterAutospacing="0"/>
              <w:rPr>
                <w:rFonts w:ascii="Arial" w:hAnsi="Arial" w:cs="Arial"/>
                <w:sz w:val="36"/>
                <w:szCs w:val="36"/>
              </w:rPr>
            </w:pPr>
            <w:r>
              <w:rPr>
                <w:rFonts w:ascii="Verdana" w:hAnsi="Verdana" w:cs="Arial"/>
                <w:b/>
                <w:bCs/>
                <w:color w:val="333E48" w:themeColor="dark1"/>
                <w:kern w:val="24"/>
                <w:sz w:val="18"/>
                <w:szCs w:val="18"/>
              </w:rPr>
              <w:t>Actual Valuation</w:t>
            </w:r>
          </w:p>
        </w:tc>
        <w:tc>
          <w:tcPr>
            <w:tcW w:w="2880" w:type="dxa"/>
            <w:vAlign w:val="center"/>
          </w:tcPr>
          <w:p w:rsidR="00473677" w:rsidRDefault="00473677" w:rsidP="00473677">
            <w:pPr>
              <w:pStyle w:val="NormalWeb"/>
              <w:spacing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Pr>
                <w:rFonts w:ascii="Verdana" w:hAnsi="Verdana" w:cs="Arial"/>
                <w:color w:val="333E48" w:themeColor="dark1"/>
                <w:kern w:val="24"/>
                <w:sz w:val="16"/>
                <w:szCs w:val="16"/>
              </w:rPr>
              <w:t>The known savings from outsourcing this function (e.g., cost savings, signing bonuses) are anticipated to be larger than the known costs of the arrangement (e.g., vendor fees, administrative costs).</w:t>
            </w:r>
          </w:p>
        </w:tc>
        <w:tc>
          <w:tcPr>
            <w:tcW w:w="1345" w:type="dxa"/>
            <w:vAlign w:val="center"/>
          </w:tcPr>
          <w:p w:rsidR="00473677" w:rsidRDefault="00473677" w:rsidP="00473677">
            <w:pP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p>
        </w:tc>
        <w:tc>
          <w:tcPr>
            <w:tcW w:w="3600" w:type="dxa"/>
            <w:vAlign w:val="center"/>
          </w:tcPr>
          <w:p w:rsidR="00473677" w:rsidRDefault="00473677" w:rsidP="00473677">
            <w:pPr>
              <w:pStyle w:val="NormalWeb"/>
              <w:spacing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Pr>
                <w:rFonts w:ascii="Verdana" w:hAnsi="Verdana" w:cs="Arial"/>
                <w:color w:val="333E48" w:themeColor="dark1"/>
                <w:kern w:val="24"/>
                <w:sz w:val="16"/>
                <w:szCs w:val="16"/>
              </w:rPr>
              <w:t xml:space="preserve">Outsourcing is often treated as a cost-savings opportunity, but not all arrangements will actually create savings. Institutions must evaluate whether the initial and ongoing costs </w:t>
            </w:r>
            <w:r>
              <w:rPr>
                <w:rFonts w:ascii="Verdana" w:hAnsi="Verdana" w:cs="Arial"/>
                <w:color w:val="333E48" w:themeColor="dark1"/>
                <w:kern w:val="24"/>
                <w:sz w:val="16"/>
                <w:szCs w:val="16"/>
              </w:rPr>
              <w:br/>
              <w:t xml:space="preserve">of the contract outweigh the </w:t>
            </w:r>
            <w:r>
              <w:rPr>
                <w:rFonts w:ascii="Verdana" w:hAnsi="Verdana" w:cs="Arial"/>
                <w:color w:val="333E48" w:themeColor="dark1"/>
                <w:kern w:val="24"/>
                <w:sz w:val="16"/>
                <w:szCs w:val="16"/>
              </w:rPr>
              <w:br/>
              <w:t>eventual gains.</w:t>
            </w:r>
          </w:p>
        </w:tc>
      </w:tr>
      <w:tr w:rsidR="00473677" w:rsidTr="00473677">
        <w:trPr>
          <w:cnfStyle w:val="000000010000" w:firstRow="0" w:lastRow="0" w:firstColumn="0" w:lastColumn="0" w:oddVBand="0" w:evenVBand="0" w:oddHBand="0" w:evenHBand="1" w:firstRowFirstColumn="0" w:firstRowLastColumn="0" w:lastRowFirstColumn="0" w:lastRowLastColumn="0"/>
          <w:trHeight w:val="1728"/>
        </w:trPr>
        <w:tc>
          <w:tcPr>
            <w:cnfStyle w:val="001000000000" w:firstRow="0" w:lastRow="0" w:firstColumn="1" w:lastColumn="0" w:oddVBand="0" w:evenVBand="0" w:oddHBand="0" w:evenHBand="0" w:firstRowFirstColumn="0" w:firstRowLastColumn="0" w:lastRowFirstColumn="0" w:lastRowLastColumn="0"/>
            <w:tcW w:w="2472" w:type="dxa"/>
            <w:vAlign w:val="center"/>
          </w:tcPr>
          <w:p w:rsidR="00473677" w:rsidRDefault="00473677" w:rsidP="00473677">
            <w:pPr>
              <w:pStyle w:val="NormalWeb"/>
              <w:spacing w:beforeAutospacing="0" w:after="0" w:afterAutospacing="0"/>
              <w:rPr>
                <w:rFonts w:ascii="Arial" w:hAnsi="Arial" w:cs="Arial"/>
                <w:sz w:val="36"/>
                <w:szCs w:val="36"/>
              </w:rPr>
            </w:pPr>
            <w:r>
              <w:rPr>
                <w:rFonts w:asciiTheme="minorHAnsi" w:hAnsi="Verdana" w:cstheme="minorBidi"/>
                <w:b/>
                <w:bCs/>
                <w:color w:val="333E48" w:themeColor="dark1"/>
                <w:kern w:val="24"/>
                <w:sz w:val="18"/>
                <w:szCs w:val="18"/>
              </w:rPr>
              <w:t>Potential Valuation</w:t>
            </w:r>
          </w:p>
        </w:tc>
        <w:tc>
          <w:tcPr>
            <w:tcW w:w="2880" w:type="dxa"/>
            <w:vAlign w:val="center"/>
          </w:tcPr>
          <w:p w:rsidR="00473677" w:rsidRDefault="00473677" w:rsidP="00473677">
            <w:pPr>
              <w:pStyle w:val="NormalWeb"/>
              <w:spacing w:beforeAutospacing="0" w:after="0" w:afterAutospacing="0"/>
              <w:cnfStyle w:val="000000010000" w:firstRow="0" w:lastRow="0" w:firstColumn="0" w:lastColumn="0" w:oddVBand="0" w:evenVBand="0" w:oddHBand="0" w:evenHBand="1" w:firstRowFirstColumn="0" w:firstRowLastColumn="0" w:lastRowFirstColumn="0" w:lastRowLastColumn="0"/>
              <w:rPr>
                <w:rFonts w:ascii="Arial" w:hAnsi="Arial" w:cs="Arial"/>
                <w:sz w:val="36"/>
                <w:szCs w:val="36"/>
              </w:rPr>
            </w:pPr>
            <w:r>
              <w:rPr>
                <w:rFonts w:ascii="Verdana" w:hAnsi="Verdana" w:cs="Arial"/>
                <w:color w:val="333E48" w:themeColor="dark1"/>
                <w:kern w:val="24"/>
                <w:sz w:val="16"/>
                <w:szCs w:val="16"/>
              </w:rPr>
              <w:t>The risks of failure for outsourcing this function (e.g., underperformance, rebuilding the function from scratch) are low.</w:t>
            </w:r>
          </w:p>
        </w:tc>
        <w:tc>
          <w:tcPr>
            <w:tcW w:w="1345" w:type="dxa"/>
            <w:vAlign w:val="center"/>
          </w:tcPr>
          <w:p w:rsidR="00473677" w:rsidRDefault="00473677" w:rsidP="00473677">
            <w:pPr>
              <w:cnfStyle w:val="000000010000" w:firstRow="0" w:lastRow="0" w:firstColumn="0" w:lastColumn="0" w:oddVBand="0" w:evenVBand="0" w:oddHBand="0" w:evenHBand="1" w:firstRowFirstColumn="0" w:firstRowLastColumn="0" w:lastRowFirstColumn="0" w:lastRowLastColumn="0"/>
              <w:rPr>
                <w:rFonts w:ascii="Arial" w:hAnsi="Arial" w:cs="Arial"/>
                <w:sz w:val="36"/>
                <w:szCs w:val="36"/>
              </w:rPr>
            </w:pPr>
          </w:p>
        </w:tc>
        <w:tc>
          <w:tcPr>
            <w:tcW w:w="3600" w:type="dxa"/>
            <w:vAlign w:val="center"/>
          </w:tcPr>
          <w:p w:rsidR="00473677" w:rsidRDefault="00473677" w:rsidP="00473677">
            <w:pPr>
              <w:pStyle w:val="NormalWeb"/>
              <w:spacing w:beforeAutospacing="0" w:after="0" w:afterAutospacing="0"/>
              <w:cnfStyle w:val="000000010000" w:firstRow="0" w:lastRow="0" w:firstColumn="0" w:lastColumn="0" w:oddVBand="0" w:evenVBand="0" w:oddHBand="0" w:evenHBand="1" w:firstRowFirstColumn="0" w:firstRowLastColumn="0" w:lastRowFirstColumn="0" w:lastRowLastColumn="0"/>
              <w:rPr>
                <w:rFonts w:ascii="Arial" w:hAnsi="Arial" w:cs="Arial"/>
                <w:sz w:val="36"/>
                <w:szCs w:val="36"/>
              </w:rPr>
            </w:pPr>
            <w:r>
              <w:rPr>
                <w:rFonts w:ascii="Verdana" w:hAnsi="Verdana" w:cs="Arial"/>
                <w:color w:val="333E48" w:themeColor="dark1"/>
                <w:kern w:val="24"/>
                <w:sz w:val="16"/>
                <w:szCs w:val="16"/>
              </w:rPr>
              <w:t xml:space="preserve">Outsourcing generates some risk that the vendor will underperform or fail in the enactment of the function. </w:t>
            </w:r>
            <w:r>
              <w:rPr>
                <w:rFonts w:ascii="Verdana" w:hAnsi="Verdana" w:cs="Arial"/>
                <w:color w:val="333E48" w:themeColor="dark1"/>
                <w:kern w:val="24"/>
                <w:sz w:val="16"/>
                <w:szCs w:val="16"/>
              </w:rPr>
              <w:br/>
              <w:t>This can lead to expensive legal fees and rebuilding costs for the institution.</w:t>
            </w:r>
          </w:p>
        </w:tc>
      </w:tr>
      <w:tr w:rsidR="00473677" w:rsidTr="00473677">
        <w:trPr>
          <w:cnfStyle w:val="000000100000" w:firstRow="0" w:lastRow="0" w:firstColumn="0" w:lastColumn="0" w:oddVBand="0" w:evenVBand="0" w:oddHBand="1" w:evenHBand="0" w:firstRowFirstColumn="0" w:firstRowLastColumn="0" w:lastRowFirstColumn="0" w:lastRowLastColumn="0"/>
          <w:trHeight w:val="1728"/>
        </w:trPr>
        <w:tc>
          <w:tcPr>
            <w:cnfStyle w:val="001000000000" w:firstRow="0" w:lastRow="0" w:firstColumn="1" w:lastColumn="0" w:oddVBand="0" w:evenVBand="0" w:oddHBand="0" w:evenHBand="0" w:firstRowFirstColumn="0" w:firstRowLastColumn="0" w:lastRowFirstColumn="0" w:lastRowLastColumn="0"/>
            <w:tcW w:w="2472" w:type="dxa"/>
            <w:vAlign w:val="center"/>
          </w:tcPr>
          <w:p w:rsidR="00473677" w:rsidRPr="00473677" w:rsidRDefault="00473677" w:rsidP="00473677">
            <w:pPr>
              <w:pStyle w:val="BodyText"/>
              <w:ind w:left="0"/>
            </w:pPr>
            <w:r>
              <w:rPr>
                <w:rFonts w:ascii="Verdana" w:hAnsi="Verdana" w:cs="Arial"/>
                <w:b/>
                <w:bCs/>
                <w:color w:val="333E48" w:themeColor="dark1"/>
                <w:kern w:val="24"/>
                <w:sz w:val="18"/>
              </w:rPr>
              <w:t>Amount of Transactional Work</w:t>
            </w:r>
            <w:r w:rsidRPr="00473677">
              <w:rPr>
                <w:rStyle w:val="FootnoteReference"/>
                <w:b/>
              </w:rPr>
              <w:footnoteReference w:id="1"/>
            </w:r>
          </w:p>
        </w:tc>
        <w:tc>
          <w:tcPr>
            <w:tcW w:w="2880" w:type="dxa"/>
            <w:vAlign w:val="center"/>
          </w:tcPr>
          <w:p w:rsidR="00473677" w:rsidRDefault="00473677" w:rsidP="00473677">
            <w:pPr>
              <w:pStyle w:val="NormalWeb"/>
              <w:spacing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Pr>
                <w:rFonts w:ascii="Verdana" w:hAnsi="Verdana" w:cs="Arial"/>
                <w:color w:val="333E48" w:themeColor="dark1"/>
                <w:kern w:val="24"/>
                <w:sz w:val="16"/>
                <w:szCs w:val="16"/>
              </w:rPr>
              <w:t>The majority of the function’s responsibilities are low-skill, low-complexity tasks.</w:t>
            </w:r>
          </w:p>
        </w:tc>
        <w:tc>
          <w:tcPr>
            <w:tcW w:w="1345" w:type="dxa"/>
            <w:vAlign w:val="center"/>
          </w:tcPr>
          <w:p w:rsidR="00473677" w:rsidRDefault="00473677" w:rsidP="00473677">
            <w:pP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p>
        </w:tc>
        <w:tc>
          <w:tcPr>
            <w:tcW w:w="3600" w:type="dxa"/>
            <w:vAlign w:val="center"/>
          </w:tcPr>
          <w:p w:rsidR="00473677" w:rsidRDefault="00473677" w:rsidP="00473677">
            <w:pPr>
              <w:pStyle w:val="NormalWeb"/>
              <w:spacing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Pr>
                <w:rFonts w:ascii="Verdana" w:hAnsi="Verdana" w:cs="Arial"/>
                <w:color w:val="333E48" w:themeColor="dark1"/>
                <w:kern w:val="24"/>
                <w:sz w:val="16"/>
                <w:szCs w:val="16"/>
              </w:rPr>
              <w:t xml:space="preserve">The impact of transactional work is often lower than the amount institutions must pay employees to perform it. Vendors, with economies of scales and easier access to talent, can often perform these tasks more </w:t>
            </w:r>
            <w:r>
              <w:rPr>
                <w:rFonts w:ascii="Verdana" w:hAnsi="Verdana" w:cs="Arial"/>
                <w:color w:val="333E48" w:themeColor="dark1"/>
                <w:kern w:val="24"/>
                <w:sz w:val="16"/>
                <w:szCs w:val="16"/>
              </w:rPr>
              <w:br/>
              <w:t>cost effectively.</w:t>
            </w:r>
          </w:p>
        </w:tc>
      </w:tr>
      <w:tr w:rsidR="00473677" w:rsidTr="00473677">
        <w:trPr>
          <w:cnfStyle w:val="000000010000" w:firstRow="0" w:lastRow="0" w:firstColumn="0" w:lastColumn="0" w:oddVBand="0" w:evenVBand="0" w:oddHBand="0" w:evenHBand="1" w:firstRowFirstColumn="0" w:firstRowLastColumn="0" w:lastRowFirstColumn="0" w:lastRowLastColumn="0"/>
          <w:trHeight w:val="1728"/>
        </w:trPr>
        <w:tc>
          <w:tcPr>
            <w:cnfStyle w:val="001000000000" w:firstRow="0" w:lastRow="0" w:firstColumn="1" w:lastColumn="0" w:oddVBand="0" w:evenVBand="0" w:oddHBand="0" w:evenHBand="0" w:firstRowFirstColumn="0" w:firstRowLastColumn="0" w:lastRowFirstColumn="0" w:lastRowLastColumn="0"/>
            <w:tcW w:w="2472" w:type="dxa"/>
            <w:vAlign w:val="center"/>
          </w:tcPr>
          <w:p w:rsidR="00473677" w:rsidRDefault="00473677" w:rsidP="00473677">
            <w:pPr>
              <w:pStyle w:val="NormalWeb"/>
              <w:spacing w:beforeAutospacing="0" w:after="0" w:afterAutospacing="0"/>
              <w:rPr>
                <w:rFonts w:ascii="Arial" w:hAnsi="Arial" w:cs="Arial"/>
                <w:sz w:val="36"/>
                <w:szCs w:val="36"/>
              </w:rPr>
            </w:pPr>
            <w:r>
              <w:rPr>
                <w:rFonts w:ascii="Verdana" w:hAnsi="Verdana" w:cs="Arial"/>
                <w:b/>
                <w:bCs/>
                <w:color w:val="333E48" w:themeColor="dark1"/>
                <w:kern w:val="24"/>
                <w:sz w:val="18"/>
                <w:szCs w:val="18"/>
              </w:rPr>
              <w:t>Complexity of Work</w:t>
            </w:r>
            <w:r w:rsidRPr="00473677">
              <w:rPr>
                <w:rFonts w:ascii="Verdana" w:hAnsi="Verdana" w:cs="Arial"/>
                <w:b/>
                <w:bCs/>
                <w:color w:val="333E48" w:themeColor="dark1"/>
                <w:kern w:val="24"/>
                <w:position w:val="5"/>
                <w:sz w:val="16"/>
                <w:szCs w:val="18"/>
                <w:vertAlign w:val="superscript"/>
              </w:rPr>
              <w:t>1</w:t>
            </w:r>
          </w:p>
        </w:tc>
        <w:tc>
          <w:tcPr>
            <w:tcW w:w="2880" w:type="dxa"/>
            <w:vAlign w:val="center"/>
          </w:tcPr>
          <w:p w:rsidR="00473677" w:rsidRDefault="00473677" w:rsidP="00473677">
            <w:pPr>
              <w:pStyle w:val="NormalWeb"/>
              <w:spacing w:beforeAutospacing="0" w:after="0" w:afterAutospacing="0"/>
              <w:cnfStyle w:val="000000010000" w:firstRow="0" w:lastRow="0" w:firstColumn="0" w:lastColumn="0" w:oddVBand="0" w:evenVBand="0" w:oddHBand="0" w:evenHBand="1" w:firstRowFirstColumn="0" w:firstRowLastColumn="0" w:lastRowFirstColumn="0" w:lastRowLastColumn="0"/>
              <w:rPr>
                <w:rFonts w:ascii="Arial" w:hAnsi="Arial" w:cs="Arial"/>
                <w:sz w:val="36"/>
                <w:szCs w:val="36"/>
              </w:rPr>
            </w:pPr>
            <w:r>
              <w:rPr>
                <w:rFonts w:ascii="Verdana" w:hAnsi="Verdana" w:cs="Arial"/>
                <w:color w:val="333E48" w:themeColor="dark1"/>
                <w:kern w:val="24"/>
                <w:sz w:val="16"/>
                <w:szCs w:val="16"/>
              </w:rPr>
              <w:t>The majority of the function’s responsibilities are high-skill, highly complex tasks.</w:t>
            </w:r>
          </w:p>
        </w:tc>
        <w:tc>
          <w:tcPr>
            <w:tcW w:w="1345" w:type="dxa"/>
            <w:vAlign w:val="center"/>
          </w:tcPr>
          <w:p w:rsidR="00473677" w:rsidRDefault="00473677" w:rsidP="00473677">
            <w:pPr>
              <w:cnfStyle w:val="000000010000" w:firstRow="0" w:lastRow="0" w:firstColumn="0" w:lastColumn="0" w:oddVBand="0" w:evenVBand="0" w:oddHBand="0" w:evenHBand="1" w:firstRowFirstColumn="0" w:firstRowLastColumn="0" w:lastRowFirstColumn="0" w:lastRowLastColumn="0"/>
              <w:rPr>
                <w:rFonts w:ascii="Arial" w:hAnsi="Arial" w:cs="Arial"/>
                <w:sz w:val="36"/>
                <w:szCs w:val="36"/>
              </w:rPr>
            </w:pPr>
          </w:p>
        </w:tc>
        <w:tc>
          <w:tcPr>
            <w:tcW w:w="3600" w:type="dxa"/>
            <w:vAlign w:val="center"/>
          </w:tcPr>
          <w:p w:rsidR="00473677" w:rsidRDefault="00473677" w:rsidP="00473677">
            <w:pPr>
              <w:pStyle w:val="NormalWeb"/>
              <w:spacing w:beforeAutospacing="0" w:after="0" w:afterAutospacing="0"/>
              <w:cnfStyle w:val="000000010000" w:firstRow="0" w:lastRow="0" w:firstColumn="0" w:lastColumn="0" w:oddVBand="0" w:evenVBand="0" w:oddHBand="0" w:evenHBand="1" w:firstRowFirstColumn="0" w:firstRowLastColumn="0" w:lastRowFirstColumn="0" w:lastRowLastColumn="0"/>
              <w:rPr>
                <w:rFonts w:ascii="Arial" w:hAnsi="Arial" w:cs="Arial"/>
                <w:sz w:val="36"/>
                <w:szCs w:val="36"/>
              </w:rPr>
            </w:pPr>
            <w:r>
              <w:rPr>
                <w:rFonts w:ascii="Verdana" w:hAnsi="Verdana" w:cs="Arial"/>
                <w:color w:val="333E48" w:themeColor="dark1"/>
                <w:kern w:val="24"/>
                <w:sz w:val="16"/>
                <w:szCs w:val="16"/>
              </w:rPr>
              <w:t>High-skill tasks sometimes fall outside the capacity of in-house technicians, require extensive training, and/or involve widespread compliance tracking. Vendors who specialize in these functions frequently can stay abreast of changes and upskill workers more efficiently than in-house teams.</w:t>
            </w:r>
          </w:p>
        </w:tc>
      </w:tr>
    </w:tbl>
    <w:p w:rsidR="00473677" w:rsidRDefault="00473677" w:rsidP="00473677">
      <w:pPr>
        <w:pStyle w:val="ListNumber"/>
        <w:numPr>
          <w:ilvl w:val="0"/>
          <w:numId w:val="0"/>
        </w:numPr>
      </w:pPr>
    </w:p>
    <w:p w:rsidR="00473677" w:rsidRDefault="00473677" w:rsidP="00473677">
      <w:pPr>
        <w:pStyle w:val="ListNumber"/>
        <w:numPr>
          <w:ilvl w:val="0"/>
          <w:numId w:val="0"/>
        </w:numPr>
      </w:pPr>
    </w:p>
    <w:p w:rsidR="00473677" w:rsidRDefault="00473677" w:rsidP="00473677">
      <w:pPr>
        <w:pStyle w:val="ListNumber"/>
        <w:numPr>
          <w:ilvl w:val="0"/>
          <w:numId w:val="0"/>
        </w:numPr>
      </w:pPr>
    </w:p>
    <w:tbl>
      <w:tblPr>
        <w:tblStyle w:val="TableGrid"/>
        <w:tblW w:w="0" w:type="auto"/>
        <w:tblCellMar>
          <w:top w:w="72" w:type="dxa"/>
          <w:left w:w="115" w:type="dxa"/>
          <w:bottom w:w="72" w:type="dxa"/>
          <w:right w:w="115" w:type="dxa"/>
        </w:tblCellMar>
        <w:tblLook w:val="04A0" w:firstRow="1" w:lastRow="0" w:firstColumn="1" w:lastColumn="0" w:noHBand="0" w:noVBand="1"/>
      </w:tblPr>
      <w:tblGrid>
        <w:gridCol w:w="3452"/>
        <w:gridCol w:w="3453"/>
        <w:gridCol w:w="3453"/>
      </w:tblGrid>
      <w:tr w:rsidR="00473677" w:rsidTr="00473677">
        <w:trPr>
          <w:trHeight w:val="432"/>
        </w:trPr>
        <w:tc>
          <w:tcPr>
            <w:tcW w:w="10358" w:type="dxa"/>
            <w:gridSpan w:val="3"/>
          </w:tcPr>
          <w:p w:rsidR="00473677" w:rsidRDefault="00473677" w:rsidP="00473677">
            <w:pPr>
              <w:pStyle w:val="ListNumber"/>
              <w:numPr>
                <w:ilvl w:val="0"/>
                <w:numId w:val="0"/>
              </w:numPr>
            </w:pPr>
            <w:r w:rsidRPr="00473677">
              <w:rPr>
                <w:b/>
                <w:bCs/>
              </w:rPr>
              <w:t>Agreement Score Scale</w:t>
            </w:r>
          </w:p>
        </w:tc>
      </w:tr>
      <w:tr w:rsidR="00473677" w:rsidTr="00473677">
        <w:trPr>
          <w:trHeight w:val="432"/>
        </w:trPr>
        <w:tc>
          <w:tcPr>
            <w:tcW w:w="3452" w:type="dxa"/>
            <w:vAlign w:val="center"/>
          </w:tcPr>
          <w:p w:rsidR="00473677" w:rsidRDefault="00473677" w:rsidP="00473677">
            <w:pPr>
              <w:pStyle w:val="NormalWeb"/>
              <w:spacing w:before="60" w:beforeAutospacing="0" w:after="0" w:afterAutospacing="0"/>
              <w:rPr>
                <w:rFonts w:ascii="Arial" w:hAnsi="Arial" w:cs="Arial"/>
                <w:sz w:val="36"/>
                <w:szCs w:val="36"/>
              </w:rPr>
            </w:pPr>
            <w:r>
              <w:rPr>
                <w:rFonts w:ascii="Verdana" w:hAnsi="Verdana" w:cs="Arial"/>
                <w:b/>
                <w:bCs/>
                <w:color w:val="333E48" w:themeColor="text1"/>
                <w:kern w:val="24"/>
                <w:sz w:val="18"/>
                <w:szCs w:val="18"/>
              </w:rPr>
              <w:t>Disagree = 0</w:t>
            </w:r>
          </w:p>
        </w:tc>
        <w:tc>
          <w:tcPr>
            <w:tcW w:w="3453" w:type="dxa"/>
            <w:vAlign w:val="center"/>
          </w:tcPr>
          <w:p w:rsidR="00473677" w:rsidRDefault="00473677" w:rsidP="00473677">
            <w:pPr>
              <w:pStyle w:val="NormalWeb"/>
              <w:spacing w:before="60" w:beforeAutospacing="0" w:after="0" w:afterAutospacing="0"/>
              <w:rPr>
                <w:rFonts w:ascii="Arial" w:hAnsi="Arial" w:cs="Arial"/>
                <w:sz w:val="36"/>
                <w:szCs w:val="36"/>
              </w:rPr>
            </w:pPr>
            <w:r>
              <w:rPr>
                <w:rFonts w:ascii="Verdana" w:hAnsi="Verdana" w:cs="Arial"/>
                <w:b/>
                <w:bCs/>
                <w:color w:val="333E48" w:themeColor="text1"/>
                <w:kern w:val="24"/>
                <w:sz w:val="18"/>
                <w:szCs w:val="18"/>
              </w:rPr>
              <w:t>Somewhat Agree = 1</w:t>
            </w:r>
          </w:p>
        </w:tc>
        <w:tc>
          <w:tcPr>
            <w:tcW w:w="3453" w:type="dxa"/>
            <w:vAlign w:val="center"/>
          </w:tcPr>
          <w:p w:rsidR="00473677" w:rsidRDefault="00473677" w:rsidP="00473677">
            <w:pPr>
              <w:pStyle w:val="NormalWeb"/>
              <w:spacing w:before="60" w:beforeAutospacing="0" w:after="0" w:afterAutospacing="0"/>
              <w:rPr>
                <w:rFonts w:ascii="Arial" w:hAnsi="Arial" w:cs="Arial"/>
                <w:sz w:val="36"/>
                <w:szCs w:val="36"/>
              </w:rPr>
            </w:pPr>
            <w:r>
              <w:rPr>
                <w:rFonts w:ascii="Verdana" w:hAnsi="Verdana" w:cs="Arial"/>
                <w:b/>
                <w:bCs/>
                <w:color w:val="333E48" w:themeColor="text1"/>
                <w:kern w:val="24"/>
                <w:sz w:val="18"/>
                <w:szCs w:val="18"/>
              </w:rPr>
              <w:t>Strongly Agree = 2</w:t>
            </w:r>
          </w:p>
        </w:tc>
      </w:tr>
    </w:tbl>
    <w:sdt>
      <w:sdtPr>
        <w:rPr>
          <w:rFonts w:asciiTheme="minorHAnsi" w:eastAsiaTheme="minorHAnsi" w:hAnsiTheme="minorHAnsi" w:cstheme="minorBidi"/>
          <w:color w:val="333E48" w:themeColor="text1"/>
          <w:spacing w:val="0"/>
          <w:sz w:val="18"/>
          <w:szCs w:val="18"/>
        </w:rPr>
        <w:id w:val="-2062396008"/>
        <w:docPartObj>
          <w:docPartGallery w:val="Cover Pages"/>
          <w:docPartUnique/>
        </w:docPartObj>
      </w:sdtPr>
      <w:sdtEndPr>
        <w:rPr>
          <w:rFonts w:eastAsiaTheme="majorEastAsia" w:cstheme="majorBidi"/>
          <w:sz w:val="26"/>
          <w:szCs w:val="26"/>
        </w:rPr>
      </w:sdtEndPr>
      <w:sdtContent>
        <w:p w:rsidR="00473677" w:rsidRDefault="00473677" w:rsidP="00473677">
          <w:pPr>
            <w:pStyle w:val="EABHeading1NotLinked"/>
          </w:pPr>
          <w:r w:rsidRPr="00473677">
            <w:t>Facilities Outsourcing Decision Worksheet</w:t>
          </w:r>
        </w:p>
        <w:p w:rsidR="00473677" w:rsidRPr="00473677" w:rsidRDefault="00B0315D" w:rsidP="00473677">
          <w:pPr>
            <w:pStyle w:val="EABHeading2NotLinked"/>
          </w:pPr>
        </w:p>
      </w:sdtContent>
    </w:sdt>
    <w:tbl>
      <w:tblPr>
        <w:tblStyle w:val="EABStandardTable"/>
        <w:tblW w:w="10297" w:type="dxa"/>
        <w:tblCellMar>
          <w:top w:w="72" w:type="dxa"/>
          <w:bottom w:w="72" w:type="dxa"/>
        </w:tblCellMar>
        <w:tblLook w:val="04A0" w:firstRow="1" w:lastRow="0" w:firstColumn="1" w:lastColumn="0" w:noHBand="0" w:noVBand="1"/>
      </w:tblPr>
      <w:tblGrid>
        <w:gridCol w:w="2472"/>
        <w:gridCol w:w="2880"/>
        <w:gridCol w:w="1345"/>
        <w:gridCol w:w="3600"/>
      </w:tblGrid>
      <w:tr w:rsidR="00473677" w:rsidTr="00143F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2" w:type="dxa"/>
            <w:vAlign w:val="center"/>
          </w:tcPr>
          <w:p w:rsidR="00473677" w:rsidRPr="00473677" w:rsidRDefault="00473677" w:rsidP="00143FF1">
            <w:pPr>
              <w:pStyle w:val="NormalWeb"/>
              <w:spacing w:beforeAutospacing="0" w:after="0" w:afterAutospacing="0"/>
              <w:jc w:val="center"/>
              <w:rPr>
                <w:rFonts w:ascii="Arial" w:hAnsi="Arial" w:cs="Arial"/>
                <w:sz w:val="36"/>
                <w:szCs w:val="36"/>
              </w:rPr>
            </w:pPr>
            <w:r w:rsidRPr="00473677">
              <w:rPr>
                <w:rFonts w:ascii="Verdana" w:hAnsi="Verdana" w:cs="Arial"/>
                <w:bCs/>
                <w:color w:val="FFFFFF" w:themeColor="light1"/>
                <w:kern w:val="24"/>
                <w:sz w:val="18"/>
                <w:szCs w:val="18"/>
              </w:rPr>
              <w:t>Criteria</w:t>
            </w:r>
          </w:p>
        </w:tc>
        <w:tc>
          <w:tcPr>
            <w:tcW w:w="2880" w:type="dxa"/>
            <w:vAlign w:val="center"/>
          </w:tcPr>
          <w:p w:rsidR="00473677" w:rsidRPr="00473677" w:rsidRDefault="00473677" w:rsidP="00143FF1">
            <w:pPr>
              <w:pStyle w:val="NormalWeb"/>
              <w:spacing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sz w:val="36"/>
                <w:szCs w:val="36"/>
              </w:rPr>
            </w:pPr>
            <w:r w:rsidRPr="00473677">
              <w:rPr>
                <w:rFonts w:ascii="Verdana" w:hAnsi="Verdana" w:cs="Arial"/>
                <w:bCs/>
                <w:color w:val="FFFFFF" w:themeColor="light1"/>
                <w:kern w:val="24"/>
                <w:sz w:val="18"/>
                <w:szCs w:val="18"/>
              </w:rPr>
              <w:t>Assessment</w:t>
            </w:r>
          </w:p>
        </w:tc>
        <w:tc>
          <w:tcPr>
            <w:tcW w:w="1345" w:type="dxa"/>
            <w:vAlign w:val="center"/>
          </w:tcPr>
          <w:p w:rsidR="00473677" w:rsidRPr="00473677" w:rsidRDefault="00473677" w:rsidP="00143FF1">
            <w:pPr>
              <w:pStyle w:val="NormalWeb"/>
              <w:spacing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sz w:val="36"/>
                <w:szCs w:val="36"/>
              </w:rPr>
            </w:pPr>
            <w:r w:rsidRPr="00473677">
              <w:rPr>
                <w:rFonts w:ascii="Verdana" w:hAnsi="Verdana" w:cs="Arial"/>
                <w:bCs/>
                <w:color w:val="FFFFFF" w:themeColor="light1"/>
                <w:kern w:val="24"/>
                <w:sz w:val="18"/>
                <w:szCs w:val="18"/>
              </w:rPr>
              <w:t>Agreement Score</w:t>
            </w:r>
          </w:p>
        </w:tc>
        <w:tc>
          <w:tcPr>
            <w:tcW w:w="3600" w:type="dxa"/>
            <w:vAlign w:val="center"/>
          </w:tcPr>
          <w:p w:rsidR="00473677" w:rsidRPr="00473677" w:rsidRDefault="00473677" w:rsidP="00143FF1">
            <w:pPr>
              <w:pStyle w:val="NormalWeb"/>
              <w:spacing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sz w:val="36"/>
                <w:szCs w:val="36"/>
              </w:rPr>
            </w:pPr>
            <w:r w:rsidRPr="00473677">
              <w:rPr>
                <w:rFonts w:ascii="Verdana" w:hAnsi="Verdana" w:cs="Arial"/>
                <w:bCs/>
                <w:color w:val="FFFFFF" w:themeColor="light1"/>
                <w:kern w:val="24"/>
                <w:sz w:val="18"/>
                <w:szCs w:val="18"/>
              </w:rPr>
              <w:t>Relevance to Outsourcing</w:t>
            </w:r>
          </w:p>
        </w:tc>
      </w:tr>
      <w:tr w:rsidR="00473677" w:rsidTr="00473677">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2472" w:type="dxa"/>
            <w:vAlign w:val="center"/>
          </w:tcPr>
          <w:p w:rsidR="00473677" w:rsidRDefault="00473677" w:rsidP="00473677">
            <w:pPr>
              <w:pStyle w:val="NormalWeb"/>
              <w:spacing w:beforeAutospacing="0" w:after="0" w:afterAutospacing="0"/>
              <w:rPr>
                <w:rFonts w:ascii="Arial" w:hAnsi="Arial" w:cs="Arial"/>
                <w:sz w:val="36"/>
                <w:szCs w:val="36"/>
              </w:rPr>
            </w:pPr>
            <w:r w:rsidRPr="00473677">
              <w:rPr>
                <w:rFonts w:ascii="Verdana" w:hAnsi="Verdana" w:cs="Arial"/>
                <w:b/>
                <w:bCs/>
                <w:color w:val="333E48" w:themeColor="dark1"/>
                <w:kern w:val="24"/>
                <w:sz w:val="18"/>
                <w:szCs w:val="18"/>
              </w:rPr>
              <w:t>Improvement in Customer Satisfaction</w:t>
            </w:r>
          </w:p>
        </w:tc>
        <w:tc>
          <w:tcPr>
            <w:tcW w:w="2880" w:type="dxa"/>
            <w:vAlign w:val="center"/>
          </w:tcPr>
          <w:p w:rsidR="00473677" w:rsidRPr="00473677" w:rsidRDefault="00473677" w:rsidP="00473677">
            <w:pPr>
              <w:pStyle w:val="NormalWeb"/>
              <w:spacing w:beforeAutospacing="0" w:after="0" w:afterAutospacing="0"/>
              <w:cnfStyle w:val="000000100000" w:firstRow="0" w:lastRow="0" w:firstColumn="0" w:lastColumn="0" w:oddVBand="0" w:evenVBand="0" w:oddHBand="1" w:evenHBand="0" w:firstRowFirstColumn="0" w:firstRowLastColumn="0" w:lastRowFirstColumn="0" w:lastRowLastColumn="0"/>
              <w:rPr>
                <w:rFonts w:ascii="Verdana" w:hAnsi="Verdana" w:cs="Arial"/>
                <w:color w:val="333E48" w:themeColor="dark1"/>
                <w:kern w:val="24"/>
                <w:sz w:val="16"/>
                <w:szCs w:val="16"/>
              </w:rPr>
            </w:pPr>
            <w:r w:rsidRPr="00473677">
              <w:rPr>
                <w:rFonts w:ascii="Verdana" w:hAnsi="Verdana" w:cs="Arial"/>
                <w:color w:val="333E48" w:themeColor="dark1"/>
                <w:kern w:val="24"/>
                <w:sz w:val="16"/>
                <w:szCs w:val="16"/>
              </w:rPr>
              <w:t>An improvement in the service levels of the function will increase customer satisfaction by an appreciable amount.</w:t>
            </w:r>
          </w:p>
        </w:tc>
        <w:tc>
          <w:tcPr>
            <w:tcW w:w="1345" w:type="dxa"/>
            <w:vAlign w:val="center"/>
          </w:tcPr>
          <w:p w:rsidR="00473677" w:rsidRPr="00473677" w:rsidRDefault="00473677" w:rsidP="00473677">
            <w:pPr>
              <w:cnfStyle w:val="000000100000" w:firstRow="0" w:lastRow="0" w:firstColumn="0" w:lastColumn="0" w:oddVBand="0" w:evenVBand="0" w:oddHBand="1" w:evenHBand="0" w:firstRowFirstColumn="0" w:firstRowLastColumn="0" w:lastRowFirstColumn="0" w:lastRowLastColumn="0"/>
              <w:rPr>
                <w:rFonts w:ascii="Verdana" w:eastAsiaTheme="minorEastAsia" w:hAnsi="Verdana" w:cs="Arial"/>
                <w:color w:val="333E48" w:themeColor="dark1"/>
                <w:kern w:val="24"/>
                <w:szCs w:val="16"/>
              </w:rPr>
            </w:pPr>
          </w:p>
        </w:tc>
        <w:tc>
          <w:tcPr>
            <w:tcW w:w="3600" w:type="dxa"/>
            <w:vAlign w:val="center"/>
          </w:tcPr>
          <w:p w:rsidR="00473677" w:rsidRPr="00473677" w:rsidRDefault="00473677" w:rsidP="00473677">
            <w:pPr>
              <w:pStyle w:val="NormalWeb"/>
              <w:spacing w:beforeAutospacing="0" w:after="0" w:afterAutospacing="0"/>
              <w:cnfStyle w:val="000000100000" w:firstRow="0" w:lastRow="0" w:firstColumn="0" w:lastColumn="0" w:oddVBand="0" w:evenVBand="0" w:oddHBand="1" w:evenHBand="0" w:firstRowFirstColumn="0" w:firstRowLastColumn="0" w:lastRowFirstColumn="0" w:lastRowLastColumn="0"/>
              <w:rPr>
                <w:rFonts w:ascii="Verdana" w:hAnsi="Verdana" w:cs="Arial"/>
                <w:color w:val="333E48" w:themeColor="dark1"/>
                <w:kern w:val="24"/>
                <w:sz w:val="16"/>
                <w:szCs w:val="16"/>
              </w:rPr>
            </w:pPr>
            <w:r w:rsidRPr="00473677">
              <w:rPr>
                <w:rFonts w:ascii="Verdana" w:hAnsi="Verdana" w:cs="Arial"/>
                <w:color w:val="333E48" w:themeColor="dark1"/>
                <w:kern w:val="24"/>
                <w:sz w:val="16"/>
                <w:szCs w:val="16"/>
              </w:rPr>
              <w:t>Vendors frequently drive performance improvements due to their specialization and ability to start with a clean slate. However, performance improvement does not always lead to increased customer satisfaction. Therefore, the greater the improvement to customer satisfaction, the more likely an outsourcing arrangement is viable.</w:t>
            </w:r>
          </w:p>
        </w:tc>
      </w:tr>
      <w:tr w:rsidR="00473677" w:rsidTr="00473677">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72" w:type="dxa"/>
            <w:vAlign w:val="center"/>
          </w:tcPr>
          <w:p w:rsidR="00473677" w:rsidRDefault="00473677" w:rsidP="00473677">
            <w:pPr>
              <w:pStyle w:val="NormalWeb"/>
              <w:spacing w:beforeAutospacing="0" w:after="0" w:afterAutospacing="0"/>
              <w:rPr>
                <w:rFonts w:ascii="Arial" w:hAnsi="Arial" w:cs="Arial"/>
                <w:sz w:val="36"/>
                <w:szCs w:val="36"/>
              </w:rPr>
            </w:pPr>
            <w:r>
              <w:rPr>
                <w:rFonts w:ascii="Verdana" w:hAnsi="Verdana" w:cs="Arial"/>
                <w:b/>
                <w:bCs/>
                <w:color w:val="333E48" w:themeColor="dark1"/>
                <w:kern w:val="24"/>
                <w:sz w:val="18"/>
                <w:szCs w:val="18"/>
              </w:rPr>
              <w:t>Frequency of Activity</w:t>
            </w:r>
          </w:p>
        </w:tc>
        <w:tc>
          <w:tcPr>
            <w:tcW w:w="2880" w:type="dxa"/>
            <w:vAlign w:val="center"/>
          </w:tcPr>
          <w:p w:rsidR="00473677" w:rsidRDefault="00473677" w:rsidP="00473677">
            <w:pPr>
              <w:pStyle w:val="NormalWeb"/>
              <w:spacing w:beforeAutospacing="0" w:after="0" w:afterAutospacing="0"/>
              <w:cnfStyle w:val="000000010000" w:firstRow="0" w:lastRow="0" w:firstColumn="0" w:lastColumn="0" w:oddVBand="0" w:evenVBand="0" w:oddHBand="0" w:evenHBand="1" w:firstRowFirstColumn="0" w:firstRowLastColumn="0" w:lastRowFirstColumn="0" w:lastRowLastColumn="0"/>
              <w:rPr>
                <w:rFonts w:ascii="Arial" w:hAnsi="Arial" w:cs="Arial"/>
                <w:sz w:val="36"/>
                <w:szCs w:val="36"/>
              </w:rPr>
            </w:pPr>
            <w:r>
              <w:rPr>
                <w:rFonts w:ascii="Verdana" w:hAnsi="Verdana" w:cs="Arial"/>
                <w:color w:val="333E48" w:themeColor="dark1"/>
                <w:kern w:val="24"/>
                <w:sz w:val="16"/>
                <w:szCs w:val="16"/>
              </w:rPr>
              <w:t xml:space="preserve">The function occurs on an infrequent, seasonal, or </w:t>
            </w:r>
            <w:r>
              <w:rPr>
                <w:rFonts w:ascii="Verdana" w:hAnsi="Verdana" w:cs="Arial"/>
                <w:color w:val="333E48" w:themeColor="dark1"/>
                <w:kern w:val="24"/>
                <w:sz w:val="16"/>
                <w:szCs w:val="16"/>
              </w:rPr>
              <w:br/>
              <w:t>irregular basis.</w:t>
            </w:r>
          </w:p>
        </w:tc>
        <w:tc>
          <w:tcPr>
            <w:tcW w:w="1345" w:type="dxa"/>
            <w:vAlign w:val="center"/>
          </w:tcPr>
          <w:p w:rsidR="00473677" w:rsidRDefault="00473677" w:rsidP="00473677">
            <w:pPr>
              <w:cnfStyle w:val="000000010000" w:firstRow="0" w:lastRow="0" w:firstColumn="0" w:lastColumn="0" w:oddVBand="0" w:evenVBand="0" w:oddHBand="0" w:evenHBand="1" w:firstRowFirstColumn="0" w:firstRowLastColumn="0" w:lastRowFirstColumn="0" w:lastRowLastColumn="0"/>
              <w:rPr>
                <w:rFonts w:ascii="Arial" w:hAnsi="Arial" w:cs="Arial"/>
                <w:sz w:val="36"/>
                <w:szCs w:val="36"/>
              </w:rPr>
            </w:pPr>
          </w:p>
        </w:tc>
        <w:tc>
          <w:tcPr>
            <w:tcW w:w="3600" w:type="dxa"/>
            <w:vAlign w:val="center"/>
          </w:tcPr>
          <w:p w:rsidR="00473677" w:rsidRDefault="00473677" w:rsidP="00473677">
            <w:pPr>
              <w:pStyle w:val="NormalWeb"/>
              <w:spacing w:beforeAutospacing="0" w:after="0" w:afterAutospacing="0"/>
              <w:cnfStyle w:val="000000010000" w:firstRow="0" w:lastRow="0" w:firstColumn="0" w:lastColumn="0" w:oddVBand="0" w:evenVBand="0" w:oddHBand="0" w:evenHBand="1" w:firstRowFirstColumn="0" w:firstRowLastColumn="0" w:lastRowFirstColumn="0" w:lastRowLastColumn="0"/>
              <w:rPr>
                <w:rFonts w:ascii="Arial" w:hAnsi="Arial" w:cs="Arial"/>
                <w:sz w:val="36"/>
                <w:szCs w:val="36"/>
              </w:rPr>
            </w:pPr>
            <w:r>
              <w:rPr>
                <w:rFonts w:ascii="Verdana" w:hAnsi="Verdana" w:cs="Arial"/>
                <w:color w:val="333E48" w:themeColor="dark1"/>
                <w:kern w:val="24"/>
                <w:sz w:val="16"/>
                <w:szCs w:val="16"/>
              </w:rPr>
              <w:t xml:space="preserve">Institutions should assess whether having full-time staff responsibility for the function matches the frequency at which their services are rendered </w:t>
            </w:r>
            <w:r>
              <w:rPr>
                <w:rFonts w:ascii="Verdana" w:hAnsi="Verdana" w:cs="Arial"/>
                <w:color w:val="333E48" w:themeColor="dark1"/>
                <w:kern w:val="24"/>
                <w:sz w:val="16"/>
                <w:szCs w:val="16"/>
              </w:rPr>
              <w:br/>
              <w:t>on campus.</w:t>
            </w:r>
          </w:p>
        </w:tc>
      </w:tr>
      <w:tr w:rsidR="00473677" w:rsidTr="00473677">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2472" w:type="dxa"/>
            <w:vAlign w:val="center"/>
          </w:tcPr>
          <w:p w:rsidR="00473677" w:rsidRDefault="00473677" w:rsidP="00473677">
            <w:pPr>
              <w:pStyle w:val="NormalWeb"/>
              <w:spacing w:beforeAutospacing="0" w:after="0" w:afterAutospacing="0"/>
              <w:rPr>
                <w:rFonts w:ascii="Arial" w:hAnsi="Arial" w:cs="Arial"/>
                <w:sz w:val="36"/>
                <w:szCs w:val="36"/>
              </w:rPr>
            </w:pPr>
            <w:r>
              <w:rPr>
                <w:rFonts w:ascii="Verdana" w:hAnsi="Verdana" w:cs="Arial"/>
                <w:b/>
                <w:bCs/>
                <w:color w:val="333E48" w:themeColor="dark1"/>
                <w:kern w:val="24"/>
                <w:sz w:val="18"/>
                <w:szCs w:val="18"/>
              </w:rPr>
              <w:t>Human Resource Requirements</w:t>
            </w:r>
          </w:p>
        </w:tc>
        <w:tc>
          <w:tcPr>
            <w:tcW w:w="2880" w:type="dxa"/>
            <w:vAlign w:val="center"/>
          </w:tcPr>
          <w:p w:rsidR="00473677" w:rsidRDefault="00473677" w:rsidP="00473677">
            <w:pPr>
              <w:pStyle w:val="NormalWeb"/>
              <w:spacing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Pr>
                <w:rFonts w:ascii="Verdana" w:hAnsi="Verdana" w:cs="Arial"/>
                <w:color w:val="333E48" w:themeColor="dark1"/>
                <w:kern w:val="24"/>
                <w:sz w:val="16"/>
                <w:szCs w:val="16"/>
              </w:rPr>
              <w:t>The workforce responsible for the function has high vacancy, turnover, absenteeism, and/or termination rates.</w:t>
            </w:r>
          </w:p>
        </w:tc>
        <w:tc>
          <w:tcPr>
            <w:tcW w:w="1345" w:type="dxa"/>
            <w:vAlign w:val="center"/>
          </w:tcPr>
          <w:p w:rsidR="00473677" w:rsidRDefault="00473677" w:rsidP="00473677">
            <w:pP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p>
        </w:tc>
        <w:tc>
          <w:tcPr>
            <w:tcW w:w="3600" w:type="dxa"/>
            <w:vAlign w:val="center"/>
          </w:tcPr>
          <w:p w:rsidR="00473677" w:rsidRDefault="00473677" w:rsidP="00473677">
            <w:pPr>
              <w:pStyle w:val="NormalWeb"/>
              <w:spacing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Pr>
                <w:rFonts w:ascii="Verdana" w:hAnsi="Verdana" w:cs="Arial"/>
                <w:color w:val="333E48" w:themeColor="dark1"/>
                <w:kern w:val="24"/>
                <w:sz w:val="16"/>
                <w:szCs w:val="16"/>
              </w:rPr>
              <w:t>Institutions should assess whether outsourcing the function would offload responsibility for hiring, vetting, retaining, and firing staff that can be troublesome for the institution’s HR division to manage.</w:t>
            </w:r>
          </w:p>
        </w:tc>
      </w:tr>
      <w:tr w:rsidR="00473677" w:rsidTr="00473677">
        <w:trPr>
          <w:cnfStyle w:val="000000010000" w:firstRow="0" w:lastRow="0" w:firstColumn="0" w:lastColumn="0" w:oddVBand="0" w:evenVBand="0" w:oddHBand="0" w:evenHBand="1"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2472" w:type="dxa"/>
            <w:vAlign w:val="center"/>
          </w:tcPr>
          <w:p w:rsidR="00473677" w:rsidRDefault="00473677" w:rsidP="00473677">
            <w:pPr>
              <w:pStyle w:val="NormalWeb"/>
              <w:spacing w:beforeAutospacing="0" w:after="0" w:afterAutospacing="0"/>
              <w:rPr>
                <w:rFonts w:ascii="Arial" w:hAnsi="Arial" w:cs="Arial"/>
                <w:sz w:val="36"/>
                <w:szCs w:val="36"/>
              </w:rPr>
            </w:pPr>
            <w:r>
              <w:rPr>
                <w:rFonts w:ascii="Verdana" w:hAnsi="Verdana" w:cs="Arial"/>
                <w:b/>
                <w:bCs/>
                <w:color w:val="333E48" w:themeColor="dark1"/>
                <w:kern w:val="24"/>
                <w:sz w:val="18"/>
                <w:szCs w:val="18"/>
              </w:rPr>
              <w:t>Strategic Value</w:t>
            </w:r>
          </w:p>
        </w:tc>
        <w:tc>
          <w:tcPr>
            <w:tcW w:w="2880" w:type="dxa"/>
            <w:vAlign w:val="center"/>
          </w:tcPr>
          <w:p w:rsidR="00473677" w:rsidRDefault="00473677" w:rsidP="00473677">
            <w:pPr>
              <w:pStyle w:val="NormalWeb"/>
              <w:spacing w:beforeAutospacing="0" w:after="0" w:afterAutospacing="0"/>
              <w:cnfStyle w:val="000000010000" w:firstRow="0" w:lastRow="0" w:firstColumn="0" w:lastColumn="0" w:oddVBand="0" w:evenVBand="0" w:oddHBand="0" w:evenHBand="1" w:firstRowFirstColumn="0" w:firstRowLastColumn="0" w:lastRowFirstColumn="0" w:lastRowLastColumn="0"/>
              <w:rPr>
                <w:rFonts w:ascii="Arial" w:hAnsi="Arial" w:cs="Arial"/>
                <w:sz w:val="36"/>
                <w:szCs w:val="36"/>
              </w:rPr>
            </w:pPr>
            <w:r>
              <w:rPr>
                <w:rFonts w:ascii="Verdana" w:hAnsi="Verdana" w:cs="Arial"/>
                <w:color w:val="333E48" w:themeColor="dark1"/>
                <w:kern w:val="24"/>
                <w:sz w:val="16"/>
                <w:szCs w:val="16"/>
              </w:rPr>
              <w:t xml:space="preserve">The function’s performance is unrelated to institutional priorities (e.g., reducing deferred maintenance, increasing </w:t>
            </w:r>
            <w:r>
              <w:rPr>
                <w:rFonts w:ascii="Verdana" w:hAnsi="Verdana" w:cs="Arial"/>
                <w:color w:val="333E48" w:themeColor="dark1"/>
                <w:kern w:val="24"/>
                <w:sz w:val="16"/>
                <w:szCs w:val="16"/>
              </w:rPr>
              <w:br/>
              <w:t>student enrollment).</w:t>
            </w:r>
          </w:p>
        </w:tc>
        <w:tc>
          <w:tcPr>
            <w:tcW w:w="1345" w:type="dxa"/>
            <w:vAlign w:val="center"/>
          </w:tcPr>
          <w:p w:rsidR="00473677" w:rsidRDefault="00473677" w:rsidP="00473677">
            <w:pPr>
              <w:cnfStyle w:val="000000010000" w:firstRow="0" w:lastRow="0" w:firstColumn="0" w:lastColumn="0" w:oddVBand="0" w:evenVBand="0" w:oddHBand="0" w:evenHBand="1" w:firstRowFirstColumn="0" w:firstRowLastColumn="0" w:lastRowFirstColumn="0" w:lastRowLastColumn="0"/>
              <w:rPr>
                <w:rFonts w:ascii="Arial" w:hAnsi="Arial" w:cs="Arial"/>
                <w:sz w:val="36"/>
                <w:szCs w:val="36"/>
              </w:rPr>
            </w:pPr>
          </w:p>
        </w:tc>
        <w:tc>
          <w:tcPr>
            <w:tcW w:w="3600" w:type="dxa"/>
            <w:vAlign w:val="center"/>
          </w:tcPr>
          <w:p w:rsidR="00473677" w:rsidRDefault="00473677" w:rsidP="00473677">
            <w:pPr>
              <w:pStyle w:val="NormalWeb"/>
              <w:spacing w:beforeAutospacing="0" w:after="0" w:afterAutospacing="0"/>
              <w:cnfStyle w:val="000000010000" w:firstRow="0" w:lastRow="0" w:firstColumn="0" w:lastColumn="0" w:oddVBand="0" w:evenVBand="0" w:oddHBand="0" w:evenHBand="1" w:firstRowFirstColumn="0" w:firstRowLastColumn="0" w:lastRowFirstColumn="0" w:lastRowLastColumn="0"/>
              <w:rPr>
                <w:rFonts w:ascii="Arial" w:hAnsi="Arial" w:cs="Arial"/>
                <w:sz w:val="36"/>
                <w:szCs w:val="36"/>
              </w:rPr>
            </w:pPr>
            <w:r>
              <w:rPr>
                <w:rFonts w:ascii="Verdana" w:hAnsi="Verdana" w:cs="Arial"/>
                <w:color w:val="333E48" w:themeColor="dark1"/>
                <w:kern w:val="24"/>
                <w:sz w:val="16"/>
                <w:szCs w:val="16"/>
              </w:rPr>
              <w:t>Institutions should determine whether the function directly connects to an institutional priority, such as improving retention or reducing deferred maintenance. (While some institutions will still decide to outsource these strategically important functions, this decision requires deeper evaluation of the capacity of vendors in the area to perform the function more reliably and at a higher quality than in-house staff.)</w:t>
            </w:r>
          </w:p>
        </w:tc>
      </w:tr>
      <w:tr w:rsidR="00473677" w:rsidTr="00473677">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2472" w:type="dxa"/>
            <w:vAlign w:val="center"/>
          </w:tcPr>
          <w:p w:rsidR="00473677" w:rsidRDefault="00473677" w:rsidP="00473677">
            <w:pPr>
              <w:pStyle w:val="NormalWeb"/>
              <w:spacing w:beforeAutospacing="0" w:after="0" w:afterAutospacing="0"/>
              <w:rPr>
                <w:rFonts w:ascii="Arial" w:hAnsi="Arial" w:cs="Arial"/>
                <w:sz w:val="36"/>
                <w:szCs w:val="36"/>
              </w:rPr>
            </w:pPr>
            <w:r>
              <w:rPr>
                <w:rFonts w:ascii="Verdana" w:hAnsi="Verdana" w:cs="Arial"/>
                <w:b/>
                <w:bCs/>
                <w:color w:val="333E48" w:themeColor="dark1"/>
                <w:kern w:val="24"/>
                <w:sz w:val="18"/>
                <w:szCs w:val="18"/>
              </w:rPr>
              <w:t>Operational Impact</w:t>
            </w:r>
          </w:p>
        </w:tc>
        <w:tc>
          <w:tcPr>
            <w:tcW w:w="2880" w:type="dxa"/>
            <w:vAlign w:val="center"/>
          </w:tcPr>
          <w:p w:rsidR="00473677" w:rsidRDefault="00473677" w:rsidP="00473677">
            <w:pPr>
              <w:pStyle w:val="NormalWeb"/>
              <w:spacing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Pr>
                <w:rFonts w:ascii="Verdana" w:hAnsi="Verdana" w:cs="Arial"/>
                <w:color w:val="333E48" w:themeColor="dark1"/>
                <w:kern w:val="24"/>
                <w:sz w:val="16"/>
                <w:szCs w:val="16"/>
              </w:rPr>
              <w:t>The function’s performance has little impact on the performance of other Facilities functions and/or institutional divisions (e.g., operations and maintenance, faculty instruction).</w:t>
            </w:r>
          </w:p>
        </w:tc>
        <w:tc>
          <w:tcPr>
            <w:tcW w:w="1345" w:type="dxa"/>
            <w:vAlign w:val="center"/>
          </w:tcPr>
          <w:p w:rsidR="00473677" w:rsidRDefault="00473677" w:rsidP="00473677">
            <w:pP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p>
        </w:tc>
        <w:tc>
          <w:tcPr>
            <w:tcW w:w="3600" w:type="dxa"/>
            <w:vAlign w:val="center"/>
          </w:tcPr>
          <w:p w:rsidR="00473677" w:rsidRDefault="00473677" w:rsidP="00473677">
            <w:pPr>
              <w:pStyle w:val="NormalWeb"/>
              <w:spacing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Pr>
                <w:rFonts w:ascii="Verdana" w:hAnsi="Verdana" w:cs="Arial"/>
                <w:color w:val="333E48" w:themeColor="dark1"/>
                <w:kern w:val="24"/>
                <w:sz w:val="16"/>
                <w:szCs w:val="16"/>
              </w:rPr>
              <w:t>Institutions that outsource a function must trust the chosen vendor to perform the function’s work. Institutions may have concerns about handing over responsibility for functions that significantly impact multiple Facilities functions or campus customers.</w:t>
            </w:r>
          </w:p>
        </w:tc>
      </w:tr>
      <w:tr w:rsidR="00473677" w:rsidTr="00473677">
        <w:trPr>
          <w:cnfStyle w:val="000000010000" w:firstRow="0" w:lastRow="0" w:firstColumn="0" w:lastColumn="0" w:oddVBand="0" w:evenVBand="0" w:oddHBand="0" w:evenHBand="1"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2472" w:type="dxa"/>
            <w:vAlign w:val="center"/>
          </w:tcPr>
          <w:p w:rsidR="00473677" w:rsidRDefault="00473677" w:rsidP="00473677">
            <w:pPr>
              <w:pStyle w:val="NormalWeb"/>
              <w:spacing w:beforeAutospacing="0" w:after="0" w:afterAutospacing="0"/>
              <w:rPr>
                <w:rFonts w:ascii="Arial" w:hAnsi="Arial" w:cs="Arial"/>
                <w:sz w:val="36"/>
                <w:szCs w:val="36"/>
              </w:rPr>
            </w:pPr>
            <w:r>
              <w:rPr>
                <w:rFonts w:ascii="Verdana" w:hAnsi="Verdana" w:cs="Arial"/>
                <w:b/>
                <w:bCs/>
                <w:color w:val="333E48" w:themeColor="dark1"/>
                <w:kern w:val="24"/>
                <w:sz w:val="18"/>
                <w:szCs w:val="18"/>
              </w:rPr>
              <w:t>Vendor Proximity</w:t>
            </w:r>
          </w:p>
        </w:tc>
        <w:tc>
          <w:tcPr>
            <w:tcW w:w="2880" w:type="dxa"/>
            <w:vAlign w:val="center"/>
          </w:tcPr>
          <w:p w:rsidR="00473677" w:rsidRDefault="00473677" w:rsidP="00473677">
            <w:pPr>
              <w:pStyle w:val="NormalWeb"/>
              <w:spacing w:beforeAutospacing="0" w:after="0" w:afterAutospacing="0"/>
              <w:cnfStyle w:val="000000010000" w:firstRow="0" w:lastRow="0" w:firstColumn="0" w:lastColumn="0" w:oddVBand="0" w:evenVBand="0" w:oddHBand="0" w:evenHBand="1" w:firstRowFirstColumn="0" w:firstRowLastColumn="0" w:lastRowFirstColumn="0" w:lastRowLastColumn="0"/>
              <w:rPr>
                <w:rFonts w:ascii="Arial" w:hAnsi="Arial" w:cs="Arial"/>
                <w:sz w:val="36"/>
                <w:szCs w:val="36"/>
              </w:rPr>
            </w:pPr>
            <w:r>
              <w:rPr>
                <w:rFonts w:ascii="Verdana" w:hAnsi="Verdana" w:cs="Arial"/>
                <w:color w:val="333E48" w:themeColor="dark1"/>
                <w:kern w:val="24"/>
                <w:sz w:val="16"/>
                <w:szCs w:val="16"/>
              </w:rPr>
              <w:t>Multiple potential vendors for this function exist and work in the surrounding area.</w:t>
            </w:r>
          </w:p>
        </w:tc>
        <w:tc>
          <w:tcPr>
            <w:tcW w:w="1345" w:type="dxa"/>
            <w:vAlign w:val="center"/>
          </w:tcPr>
          <w:p w:rsidR="00473677" w:rsidRDefault="00473677" w:rsidP="00473677">
            <w:pPr>
              <w:cnfStyle w:val="000000010000" w:firstRow="0" w:lastRow="0" w:firstColumn="0" w:lastColumn="0" w:oddVBand="0" w:evenVBand="0" w:oddHBand="0" w:evenHBand="1" w:firstRowFirstColumn="0" w:firstRowLastColumn="0" w:lastRowFirstColumn="0" w:lastRowLastColumn="0"/>
              <w:rPr>
                <w:rFonts w:ascii="Arial" w:hAnsi="Arial" w:cs="Arial"/>
                <w:sz w:val="36"/>
                <w:szCs w:val="36"/>
              </w:rPr>
            </w:pPr>
          </w:p>
        </w:tc>
        <w:tc>
          <w:tcPr>
            <w:tcW w:w="3600" w:type="dxa"/>
            <w:vAlign w:val="center"/>
          </w:tcPr>
          <w:p w:rsidR="00473677" w:rsidRDefault="00473677" w:rsidP="00473677">
            <w:pPr>
              <w:pStyle w:val="NormalWeb"/>
              <w:spacing w:beforeAutospacing="0" w:after="0" w:afterAutospacing="0"/>
              <w:cnfStyle w:val="000000010000" w:firstRow="0" w:lastRow="0" w:firstColumn="0" w:lastColumn="0" w:oddVBand="0" w:evenVBand="0" w:oddHBand="0" w:evenHBand="1" w:firstRowFirstColumn="0" w:firstRowLastColumn="0" w:lastRowFirstColumn="0" w:lastRowLastColumn="0"/>
              <w:rPr>
                <w:rFonts w:ascii="Arial" w:hAnsi="Arial" w:cs="Arial"/>
                <w:sz w:val="36"/>
                <w:szCs w:val="36"/>
              </w:rPr>
            </w:pPr>
            <w:r>
              <w:rPr>
                <w:rFonts w:ascii="Verdana" w:hAnsi="Verdana" w:cs="Arial"/>
                <w:color w:val="333E48" w:themeColor="dark1"/>
                <w:kern w:val="24"/>
                <w:sz w:val="16"/>
                <w:szCs w:val="16"/>
              </w:rPr>
              <w:t>A larger number of potential vendors for a function ensures competitive bidding and service provider options.</w:t>
            </w:r>
          </w:p>
        </w:tc>
      </w:tr>
    </w:tbl>
    <w:p w:rsidR="00473677" w:rsidRDefault="00473677" w:rsidP="00473677">
      <w:pPr>
        <w:pStyle w:val="ListNumber"/>
        <w:numPr>
          <w:ilvl w:val="0"/>
          <w:numId w:val="0"/>
        </w:numPr>
      </w:pPr>
    </w:p>
    <w:p w:rsidR="00473677" w:rsidRDefault="00473677" w:rsidP="00473677">
      <w:pPr>
        <w:pStyle w:val="ListNumber"/>
        <w:numPr>
          <w:ilvl w:val="0"/>
          <w:numId w:val="0"/>
        </w:numPr>
      </w:pPr>
    </w:p>
    <w:p w:rsidR="00473677" w:rsidRDefault="00473677" w:rsidP="00473677">
      <w:pPr>
        <w:pStyle w:val="ListNumber"/>
        <w:numPr>
          <w:ilvl w:val="0"/>
          <w:numId w:val="0"/>
        </w:numPr>
      </w:pPr>
    </w:p>
    <w:tbl>
      <w:tblPr>
        <w:tblStyle w:val="TableGrid"/>
        <w:tblW w:w="0" w:type="auto"/>
        <w:tblCellMar>
          <w:top w:w="72" w:type="dxa"/>
          <w:left w:w="115" w:type="dxa"/>
          <w:bottom w:w="72" w:type="dxa"/>
          <w:right w:w="115" w:type="dxa"/>
        </w:tblCellMar>
        <w:tblLook w:val="04A0" w:firstRow="1" w:lastRow="0" w:firstColumn="1" w:lastColumn="0" w:noHBand="0" w:noVBand="1"/>
      </w:tblPr>
      <w:tblGrid>
        <w:gridCol w:w="3452"/>
        <w:gridCol w:w="3453"/>
        <w:gridCol w:w="3453"/>
      </w:tblGrid>
      <w:tr w:rsidR="00473677" w:rsidTr="00143FF1">
        <w:trPr>
          <w:trHeight w:val="432"/>
        </w:trPr>
        <w:tc>
          <w:tcPr>
            <w:tcW w:w="10358" w:type="dxa"/>
            <w:gridSpan w:val="3"/>
          </w:tcPr>
          <w:p w:rsidR="00473677" w:rsidRDefault="00473677" w:rsidP="00143FF1">
            <w:pPr>
              <w:pStyle w:val="ListNumber"/>
              <w:numPr>
                <w:ilvl w:val="0"/>
                <w:numId w:val="0"/>
              </w:numPr>
            </w:pPr>
            <w:r w:rsidRPr="00473677">
              <w:rPr>
                <w:b/>
                <w:bCs/>
              </w:rPr>
              <w:t>Agreement Score Scale</w:t>
            </w:r>
          </w:p>
        </w:tc>
      </w:tr>
      <w:tr w:rsidR="00473677" w:rsidTr="00143FF1">
        <w:trPr>
          <w:trHeight w:val="432"/>
        </w:trPr>
        <w:tc>
          <w:tcPr>
            <w:tcW w:w="3452" w:type="dxa"/>
            <w:vAlign w:val="center"/>
          </w:tcPr>
          <w:p w:rsidR="00473677" w:rsidRDefault="00473677" w:rsidP="00143FF1">
            <w:pPr>
              <w:pStyle w:val="NormalWeb"/>
              <w:spacing w:before="60" w:beforeAutospacing="0" w:after="0" w:afterAutospacing="0"/>
              <w:rPr>
                <w:rFonts w:ascii="Arial" w:hAnsi="Arial" w:cs="Arial"/>
                <w:sz w:val="36"/>
                <w:szCs w:val="36"/>
              </w:rPr>
            </w:pPr>
            <w:r>
              <w:rPr>
                <w:rFonts w:ascii="Verdana" w:hAnsi="Verdana" w:cs="Arial"/>
                <w:b/>
                <w:bCs/>
                <w:color w:val="333E48" w:themeColor="text1"/>
                <w:kern w:val="24"/>
                <w:sz w:val="18"/>
                <w:szCs w:val="18"/>
              </w:rPr>
              <w:t>Disagree = 0</w:t>
            </w:r>
          </w:p>
        </w:tc>
        <w:tc>
          <w:tcPr>
            <w:tcW w:w="3453" w:type="dxa"/>
            <w:vAlign w:val="center"/>
          </w:tcPr>
          <w:p w:rsidR="00473677" w:rsidRDefault="00473677" w:rsidP="00143FF1">
            <w:pPr>
              <w:pStyle w:val="NormalWeb"/>
              <w:spacing w:before="60" w:beforeAutospacing="0" w:after="0" w:afterAutospacing="0"/>
              <w:rPr>
                <w:rFonts w:ascii="Arial" w:hAnsi="Arial" w:cs="Arial"/>
                <w:sz w:val="36"/>
                <w:szCs w:val="36"/>
              </w:rPr>
            </w:pPr>
            <w:r>
              <w:rPr>
                <w:rFonts w:ascii="Verdana" w:hAnsi="Verdana" w:cs="Arial"/>
                <w:b/>
                <w:bCs/>
                <w:color w:val="333E48" w:themeColor="text1"/>
                <w:kern w:val="24"/>
                <w:sz w:val="18"/>
                <w:szCs w:val="18"/>
              </w:rPr>
              <w:t>Somewhat Agree = 1</w:t>
            </w:r>
          </w:p>
        </w:tc>
        <w:tc>
          <w:tcPr>
            <w:tcW w:w="3453" w:type="dxa"/>
            <w:vAlign w:val="center"/>
          </w:tcPr>
          <w:p w:rsidR="00473677" w:rsidRDefault="00473677" w:rsidP="00143FF1">
            <w:pPr>
              <w:pStyle w:val="NormalWeb"/>
              <w:spacing w:before="60" w:beforeAutospacing="0" w:after="0" w:afterAutospacing="0"/>
              <w:rPr>
                <w:rFonts w:ascii="Arial" w:hAnsi="Arial" w:cs="Arial"/>
                <w:sz w:val="36"/>
                <w:szCs w:val="36"/>
              </w:rPr>
            </w:pPr>
            <w:r>
              <w:rPr>
                <w:rFonts w:ascii="Verdana" w:hAnsi="Verdana" w:cs="Arial"/>
                <w:b/>
                <w:bCs/>
                <w:color w:val="333E48" w:themeColor="text1"/>
                <w:kern w:val="24"/>
                <w:sz w:val="18"/>
                <w:szCs w:val="18"/>
              </w:rPr>
              <w:t>Strongly Agree = 2</w:t>
            </w:r>
          </w:p>
        </w:tc>
      </w:tr>
    </w:tbl>
    <w:p w:rsidR="00473677" w:rsidRDefault="00473677">
      <w:pPr>
        <w:spacing w:after="160" w:line="259" w:lineRule="auto"/>
      </w:pPr>
      <w:r>
        <w:br w:type="page"/>
      </w:r>
    </w:p>
    <w:sdt>
      <w:sdtPr>
        <w:rPr>
          <w:rFonts w:asciiTheme="minorHAnsi" w:eastAsiaTheme="minorHAnsi" w:hAnsiTheme="minorHAnsi" w:cstheme="minorBidi"/>
          <w:color w:val="333E48" w:themeColor="text1"/>
          <w:spacing w:val="0"/>
          <w:sz w:val="18"/>
          <w:szCs w:val="18"/>
        </w:rPr>
        <w:id w:val="1160811775"/>
        <w:docPartObj>
          <w:docPartGallery w:val="Cover Pages"/>
          <w:docPartUnique/>
        </w:docPartObj>
      </w:sdtPr>
      <w:sdtEndPr>
        <w:rPr>
          <w:rFonts w:asciiTheme="majorHAnsi" w:eastAsiaTheme="majorEastAsia" w:hAnsiTheme="majorHAnsi" w:cstheme="majorBidi"/>
          <w:color w:val="004A88" w:themeColor="accent5"/>
          <w:spacing w:val="10"/>
          <w:sz w:val="40"/>
          <w:szCs w:val="32"/>
        </w:rPr>
      </w:sdtEndPr>
      <w:sdtContent>
        <w:p w:rsidR="00473677" w:rsidRDefault="00473677" w:rsidP="00473677">
          <w:pPr>
            <w:pStyle w:val="EABHeading1NotLinked"/>
          </w:pPr>
          <w:r w:rsidRPr="00473677">
            <w:t>Facilities Outsourcing Decision Worksheet</w:t>
          </w:r>
        </w:p>
      </w:sdtContent>
    </w:sdt>
    <w:p w:rsidR="004503C5" w:rsidRPr="004503C5" w:rsidRDefault="004503C5" w:rsidP="004503C5">
      <w:pPr>
        <w:pStyle w:val="ListNumber"/>
        <w:numPr>
          <w:ilvl w:val="0"/>
          <w:numId w:val="0"/>
        </w:numPr>
      </w:pPr>
      <w:r w:rsidRPr="004503C5">
        <w:rPr>
          <w:b/>
          <w:bCs/>
        </w:rPr>
        <w:t>Calculating a Total Outsourcing Viability Score</w:t>
      </w:r>
    </w:p>
    <w:p w:rsidR="004503C5" w:rsidRPr="004503C5" w:rsidRDefault="004503C5" w:rsidP="004503C5">
      <w:pPr>
        <w:pStyle w:val="ListNumber"/>
        <w:numPr>
          <w:ilvl w:val="0"/>
          <w:numId w:val="0"/>
        </w:numPr>
      </w:pPr>
      <w:r w:rsidRPr="004503C5">
        <w:t>This section provides a final weighted score high</w:t>
      </w:r>
      <w:r>
        <w:t xml:space="preserve">lighting the potential value of </w:t>
      </w:r>
      <w:r w:rsidRPr="004503C5">
        <w:t>outsourcing an evaluated function or sub-function.</w:t>
      </w:r>
    </w:p>
    <w:p w:rsidR="00473677" w:rsidRDefault="004503C5" w:rsidP="00473677">
      <w:pPr>
        <w:pStyle w:val="ListNumber"/>
        <w:numPr>
          <w:ilvl w:val="0"/>
          <w:numId w:val="0"/>
        </w:numPr>
      </w:pPr>
      <w:r w:rsidRPr="004503C5">
        <w:t xml:space="preserve">After scoring each criterion, record the answers in the </w:t>
      </w:r>
      <w:r w:rsidRPr="004503C5">
        <w:rPr>
          <w:b/>
          <w:bCs/>
        </w:rPr>
        <w:t xml:space="preserve">Score </w:t>
      </w:r>
      <w:r w:rsidRPr="004503C5">
        <w:t>column below. Each criterion is weighted according to its importance in determining outsourcing viability. For each criterion, multiply the score by the criterion weight to calculate a weighted score. Finally, add the weighted scores in the last column of the table to calculate a total weighted score. The total weighted score corresponds to the level of outsourcing viability: high, medium, or low.</w:t>
      </w:r>
    </w:p>
    <w:tbl>
      <w:tblPr>
        <w:tblStyle w:val="EABStandardTable"/>
        <w:tblW w:w="10435" w:type="dxa"/>
        <w:tblCellMar>
          <w:top w:w="72" w:type="dxa"/>
          <w:bottom w:w="72" w:type="dxa"/>
        </w:tblCellMar>
        <w:tblLook w:val="04A0" w:firstRow="1" w:lastRow="0" w:firstColumn="1" w:lastColumn="0" w:noHBand="0" w:noVBand="1"/>
      </w:tblPr>
      <w:tblGrid>
        <w:gridCol w:w="4675"/>
        <w:gridCol w:w="2250"/>
        <w:gridCol w:w="1080"/>
        <w:gridCol w:w="2430"/>
      </w:tblGrid>
      <w:tr w:rsidR="0074106F" w:rsidTr="0074106F">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675" w:type="dxa"/>
            <w:vAlign w:val="center"/>
          </w:tcPr>
          <w:p w:rsidR="0074106F" w:rsidRPr="0074106F" w:rsidRDefault="0074106F" w:rsidP="0074106F">
            <w:pPr>
              <w:pStyle w:val="NormalWeb"/>
              <w:spacing w:beforeAutospacing="0" w:after="0" w:afterAutospacing="0"/>
              <w:jc w:val="center"/>
              <w:rPr>
                <w:rFonts w:ascii="Arial" w:hAnsi="Arial" w:cs="Arial"/>
                <w:sz w:val="36"/>
                <w:szCs w:val="36"/>
              </w:rPr>
            </w:pPr>
            <w:r w:rsidRPr="0074106F">
              <w:rPr>
                <w:rFonts w:ascii="Verdana" w:hAnsi="Verdana" w:cs="Arial"/>
                <w:bCs/>
                <w:color w:val="FFFFFF" w:themeColor="light1"/>
                <w:kern w:val="24"/>
                <w:sz w:val="18"/>
                <w:szCs w:val="18"/>
              </w:rPr>
              <w:t>Criteria</w:t>
            </w:r>
          </w:p>
        </w:tc>
        <w:tc>
          <w:tcPr>
            <w:tcW w:w="2250" w:type="dxa"/>
            <w:vAlign w:val="center"/>
          </w:tcPr>
          <w:p w:rsidR="0074106F" w:rsidRPr="0074106F" w:rsidRDefault="0074106F" w:rsidP="0074106F">
            <w:pPr>
              <w:pStyle w:val="NormalWeb"/>
              <w:spacing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sz w:val="36"/>
                <w:szCs w:val="36"/>
              </w:rPr>
            </w:pPr>
            <w:r w:rsidRPr="0074106F">
              <w:rPr>
                <w:rFonts w:ascii="Verdana" w:hAnsi="Verdana" w:cs="Arial"/>
                <w:bCs/>
                <w:color w:val="FFFFFF" w:themeColor="light1"/>
                <w:kern w:val="24"/>
                <w:sz w:val="18"/>
                <w:szCs w:val="18"/>
              </w:rPr>
              <w:t>Score</w:t>
            </w:r>
          </w:p>
        </w:tc>
        <w:tc>
          <w:tcPr>
            <w:tcW w:w="1080" w:type="dxa"/>
            <w:vAlign w:val="center"/>
          </w:tcPr>
          <w:p w:rsidR="0074106F" w:rsidRPr="0074106F" w:rsidRDefault="0074106F" w:rsidP="0074106F">
            <w:pPr>
              <w:pStyle w:val="NormalWeb"/>
              <w:spacing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sz w:val="36"/>
                <w:szCs w:val="36"/>
              </w:rPr>
            </w:pPr>
            <w:r w:rsidRPr="0074106F">
              <w:rPr>
                <w:rFonts w:ascii="Verdana" w:hAnsi="Verdana" w:cs="Arial"/>
                <w:bCs/>
                <w:color w:val="FFFFFF" w:themeColor="light1"/>
                <w:kern w:val="24"/>
                <w:sz w:val="18"/>
                <w:szCs w:val="18"/>
              </w:rPr>
              <w:t>Weight</w:t>
            </w:r>
          </w:p>
        </w:tc>
        <w:tc>
          <w:tcPr>
            <w:tcW w:w="2430" w:type="dxa"/>
            <w:vAlign w:val="center"/>
          </w:tcPr>
          <w:p w:rsidR="0074106F" w:rsidRPr="0074106F" w:rsidRDefault="0074106F" w:rsidP="0074106F">
            <w:pPr>
              <w:pStyle w:val="NormalWeb"/>
              <w:spacing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sz w:val="36"/>
                <w:szCs w:val="36"/>
              </w:rPr>
            </w:pPr>
            <w:r w:rsidRPr="0074106F">
              <w:rPr>
                <w:rFonts w:ascii="Verdana" w:hAnsi="Verdana" w:cs="Arial"/>
                <w:bCs/>
                <w:color w:val="FFFFFF" w:themeColor="light1"/>
                <w:kern w:val="24"/>
                <w:sz w:val="18"/>
                <w:szCs w:val="18"/>
              </w:rPr>
              <w:t>Weighted Score</w:t>
            </w:r>
          </w:p>
        </w:tc>
      </w:tr>
      <w:tr w:rsidR="0074106F" w:rsidTr="007410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675" w:type="dxa"/>
            <w:vAlign w:val="center"/>
          </w:tcPr>
          <w:p w:rsidR="0074106F" w:rsidRPr="0074106F" w:rsidRDefault="0074106F" w:rsidP="0074106F">
            <w:pPr>
              <w:pStyle w:val="NormalWeb"/>
              <w:spacing w:beforeAutospacing="0" w:after="0" w:afterAutospacing="0"/>
              <w:rPr>
                <w:rFonts w:ascii="Arial" w:hAnsi="Arial" w:cs="Arial"/>
                <w:color w:val="333E48" w:themeColor="text1"/>
                <w:sz w:val="36"/>
                <w:szCs w:val="36"/>
              </w:rPr>
            </w:pPr>
            <w:r w:rsidRPr="0074106F">
              <w:rPr>
                <w:rFonts w:ascii="Verdana" w:hAnsi="Verdana" w:cs="Arial"/>
                <w:color w:val="333E48" w:themeColor="text1"/>
                <w:kern w:val="24"/>
                <w:sz w:val="18"/>
                <w:szCs w:val="18"/>
              </w:rPr>
              <w:t>Actual Valuation</w:t>
            </w:r>
          </w:p>
        </w:tc>
        <w:tc>
          <w:tcPr>
            <w:tcW w:w="2250" w:type="dxa"/>
            <w:vAlign w:val="center"/>
          </w:tcPr>
          <w:p w:rsidR="0074106F" w:rsidRPr="0074106F" w:rsidRDefault="0074106F" w:rsidP="0074106F">
            <w:pPr>
              <w:pStyle w:val="NormalWeb"/>
              <w:spacing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color w:val="333E48" w:themeColor="text1"/>
                <w:sz w:val="36"/>
                <w:szCs w:val="36"/>
              </w:rPr>
            </w:pPr>
          </w:p>
        </w:tc>
        <w:tc>
          <w:tcPr>
            <w:tcW w:w="1080" w:type="dxa"/>
            <w:vAlign w:val="center"/>
          </w:tcPr>
          <w:p w:rsidR="0074106F" w:rsidRPr="0074106F" w:rsidRDefault="0074106F" w:rsidP="0074106F">
            <w:pPr>
              <w:pStyle w:val="NormalWeb"/>
              <w:spacing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color w:val="333E48" w:themeColor="text1"/>
                <w:sz w:val="36"/>
                <w:szCs w:val="36"/>
              </w:rPr>
            </w:pPr>
            <w:r w:rsidRPr="0074106F">
              <w:rPr>
                <w:rFonts w:ascii="Verdana" w:hAnsi="Verdana" w:cs="Arial"/>
                <w:bCs/>
                <w:color w:val="333E48" w:themeColor="text1"/>
                <w:kern w:val="24"/>
                <w:sz w:val="18"/>
                <w:szCs w:val="18"/>
              </w:rPr>
              <w:t>3</w:t>
            </w:r>
          </w:p>
        </w:tc>
        <w:tc>
          <w:tcPr>
            <w:tcW w:w="2430" w:type="dxa"/>
            <w:vAlign w:val="center"/>
          </w:tcPr>
          <w:p w:rsidR="0074106F" w:rsidRPr="0074106F" w:rsidRDefault="0074106F" w:rsidP="0074106F">
            <w:pPr>
              <w:pStyle w:val="NormalWeb"/>
              <w:spacing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p>
        </w:tc>
      </w:tr>
      <w:tr w:rsidR="0074106F" w:rsidTr="0074106F">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675" w:type="dxa"/>
            <w:vAlign w:val="center"/>
          </w:tcPr>
          <w:p w:rsidR="0074106F" w:rsidRDefault="0074106F" w:rsidP="0074106F">
            <w:pPr>
              <w:pStyle w:val="NormalWeb"/>
              <w:spacing w:beforeAutospacing="0" w:after="0" w:afterAutospacing="0"/>
              <w:rPr>
                <w:rFonts w:ascii="Arial" w:hAnsi="Arial" w:cs="Arial"/>
                <w:sz w:val="36"/>
                <w:szCs w:val="36"/>
              </w:rPr>
            </w:pPr>
            <w:r>
              <w:rPr>
                <w:rFonts w:asciiTheme="minorHAnsi" w:hAnsi="Verdana" w:cstheme="minorBidi"/>
                <w:color w:val="333E48" w:themeColor="dark1"/>
                <w:kern w:val="24"/>
                <w:sz w:val="18"/>
                <w:szCs w:val="18"/>
              </w:rPr>
              <w:t>Potential Valuation</w:t>
            </w:r>
          </w:p>
        </w:tc>
        <w:tc>
          <w:tcPr>
            <w:tcW w:w="2250" w:type="dxa"/>
            <w:vAlign w:val="center"/>
          </w:tcPr>
          <w:p w:rsidR="0074106F" w:rsidRPr="0074106F" w:rsidRDefault="0074106F" w:rsidP="0074106F">
            <w:pPr>
              <w:pStyle w:val="NormalWeb"/>
              <w:spacing w:beforeAutospacing="0" w:after="0" w:afterAutospacing="0"/>
              <w:cnfStyle w:val="000000010000" w:firstRow="0" w:lastRow="0" w:firstColumn="0" w:lastColumn="0" w:oddVBand="0" w:evenVBand="0" w:oddHBand="0" w:evenHBand="1" w:firstRowFirstColumn="0" w:firstRowLastColumn="0" w:lastRowFirstColumn="0" w:lastRowLastColumn="0"/>
              <w:rPr>
                <w:rFonts w:ascii="Arial" w:hAnsi="Arial" w:cs="Arial"/>
                <w:sz w:val="36"/>
                <w:szCs w:val="36"/>
              </w:rPr>
            </w:pPr>
          </w:p>
        </w:tc>
        <w:tc>
          <w:tcPr>
            <w:tcW w:w="1080" w:type="dxa"/>
            <w:vAlign w:val="center"/>
          </w:tcPr>
          <w:p w:rsidR="0074106F" w:rsidRDefault="0074106F" w:rsidP="0074106F">
            <w:pPr>
              <w:pStyle w:val="NormalWeb"/>
              <w:spacing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Arial" w:hAnsi="Arial" w:cs="Arial"/>
                <w:sz w:val="36"/>
                <w:szCs w:val="36"/>
              </w:rPr>
            </w:pPr>
            <w:r>
              <w:rPr>
                <w:rFonts w:ascii="Verdana" w:hAnsi="Verdana" w:cs="Arial"/>
                <w:color w:val="333E48" w:themeColor="dark1"/>
                <w:kern w:val="24"/>
                <w:sz w:val="18"/>
                <w:szCs w:val="18"/>
              </w:rPr>
              <w:t>3</w:t>
            </w:r>
          </w:p>
        </w:tc>
        <w:tc>
          <w:tcPr>
            <w:tcW w:w="2430" w:type="dxa"/>
            <w:vAlign w:val="center"/>
          </w:tcPr>
          <w:p w:rsidR="0074106F" w:rsidRPr="0074106F" w:rsidRDefault="0074106F" w:rsidP="0074106F">
            <w:pPr>
              <w:pStyle w:val="NormalWeb"/>
              <w:spacing w:beforeAutospacing="0" w:after="0" w:afterAutospacing="0"/>
              <w:cnfStyle w:val="000000010000" w:firstRow="0" w:lastRow="0" w:firstColumn="0" w:lastColumn="0" w:oddVBand="0" w:evenVBand="0" w:oddHBand="0" w:evenHBand="1" w:firstRowFirstColumn="0" w:firstRowLastColumn="0" w:lastRowFirstColumn="0" w:lastRowLastColumn="0"/>
              <w:rPr>
                <w:rFonts w:ascii="Arial" w:hAnsi="Arial" w:cs="Arial"/>
                <w:sz w:val="36"/>
                <w:szCs w:val="36"/>
              </w:rPr>
            </w:pPr>
          </w:p>
        </w:tc>
      </w:tr>
      <w:tr w:rsidR="0074106F" w:rsidTr="007410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675" w:type="dxa"/>
            <w:vAlign w:val="center"/>
          </w:tcPr>
          <w:p w:rsidR="0074106F" w:rsidRDefault="0074106F" w:rsidP="0074106F">
            <w:pPr>
              <w:pStyle w:val="NormalWeb"/>
              <w:spacing w:beforeAutospacing="0" w:after="0" w:afterAutospacing="0"/>
              <w:rPr>
                <w:rFonts w:ascii="Arial" w:hAnsi="Arial" w:cs="Arial"/>
                <w:sz w:val="36"/>
                <w:szCs w:val="36"/>
              </w:rPr>
            </w:pPr>
            <w:r>
              <w:rPr>
                <w:rFonts w:ascii="Verdana" w:hAnsi="Verdana" w:cs="Arial"/>
                <w:color w:val="333E48" w:themeColor="dark1"/>
                <w:kern w:val="24"/>
                <w:sz w:val="18"/>
                <w:szCs w:val="18"/>
              </w:rPr>
              <w:t>Amount of Transactional Work</w:t>
            </w:r>
          </w:p>
        </w:tc>
        <w:tc>
          <w:tcPr>
            <w:tcW w:w="2250" w:type="dxa"/>
            <w:vAlign w:val="center"/>
          </w:tcPr>
          <w:p w:rsidR="0074106F" w:rsidRPr="0074106F" w:rsidRDefault="0074106F" w:rsidP="0074106F">
            <w:pPr>
              <w:pStyle w:val="NormalWeb"/>
              <w:spacing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p>
        </w:tc>
        <w:tc>
          <w:tcPr>
            <w:tcW w:w="1080" w:type="dxa"/>
            <w:vAlign w:val="center"/>
          </w:tcPr>
          <w:p w:rsidR="0074106F" w:rsidRDefault="0074106F" w:rsidP="0074106F">
            <w:pPr>
              <w:pStyle w:val="NormalWeb"/>
              <w:spacing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Pr>
                <w:rFonts w:ascii="Verdana" w:hAnsi="Verdana" w:cs="Arial"/>
                <w:color w:val="333E48" w:themeColor="dark1"/>
                <w:kern w:val="24"/>
                <w:sz w:val="18"/>
                <w:szCs w:val="18"/>
              </w:rPr>
              <w:t>2</w:t>
            </w:r>
          </w:p>
        </w:tc>
        <w:tc>
          <w:tcPr>
            <w:tcW w:w="2430" w:type="dxa"/>
            <w:vAlign w:val="center"/>
          </w:tcPr>
          <w:p w:rsidR="0074106F" w:rsidRPr="0074106F" w:rsidRDefault="0074106F" w:rsidP="0074106F">
            <w:pPr>
              <w:pStyle w:val="NormalWeb"/>
              <w:spacing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p>
        </w:tc>
      </w:tr>
      <w:tr w:rsidR="0074106F" w:rsidTr="0074106F">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675" w:type="dxa"/>
            <w:vAlign w:val="center"/>
          </w:tcPr>
          <w:p w:rsidR="0074106F" w:rsidRDefault="0074106F" w:rsidP="0074106F">
            <w:pPr>
              <w:pStyle w:val="NormalWeb"/>
              <w:spacing w:beforeAutospacing="0" w:after="0" w:afterAutospacing="0"/>
              <w:rPr>
                <w:rFonts w:ascii="Arial" w:hAnsi="Arial" w:cs="Arial"/>
                <w:sz w:val="36"/>
                <w:szCs w:val="36"/>
              </w:rPr>
            </w:pPr>
            <w:r>
              <w:rPr>
                <w:rFonts w:ascii="Verdana" w:hAnsi="Verdana" w:cs="Arial"/>
                <w:color w:val="333E48" w:themeColor="dark1"/>
                <w:kern w:val="24"/>
                <w:sz w:val="18"/>
                <w:szCs w:val="18"/>
              </w:rPr>
              <w:t>Complexity of Work</w:t>
            </w:r>
          </w:p>
        </w:tc>
        <w:tc>
          <w:tcPr>
            <w:tcW w:w="2250" w:type="dxa"/>
            <w:vAlign w:val="center"/>
          </w:tcPr>
          <w:p w:rsidR="0074106F" w:rsidRPr="0074106F" w:rsidRDefault="0074106F" w:rsidP="0074106F">
            <w:pPr>
              <w:pStyle w:val="NormalWeb"/>
              <w:spacing w:beforeAutospacing="0" w:after="0" w:afterAutospacing="0"/>
              <w:cnfStyle w:val="000000010000" w:firstRow="0" w:lastRow="0" w:firstColumn="0" w:lastColumn="0" w:oddVBand="0" w:evenVBand="0" w:oddHBand="0" w:evenHBand="1" w:firstRowFirstColumn="0" w:firstRowLastColumn="0" w:lastRowFirstColumn="0" w:lastRowLastColumn="0"/>
              <w:rPr>
                <w:rFonts w:ascii="Arial" w:hAnsi="Arial" w:cs="Arial"/>
                <w:sz w:val="36"/>
                <w:szCs w:val="36"/>
              </w:rPr>
            </w:pPr>
          </w:p>
        </w:tc>
        <w:tc>
          <w:tcPr>
            <w:tcW w:w="1080" w:type="dxa"/>
            <w:vAlign w:val="center"/>
          </w:tcPr>
          <w:p w:rsidR="0074106F" w:rsidRDefault="0074106F" w:rsidP="0074106F">
            <w:pPr>
              <w:pStyle w:val="NormalWeb"/>
              <w:spacing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Arial" w:hAnsi="Arial" w:cs="Arial"/>
                <w:sz w:val="36"/>
                <w:szCs w:val="36"/>
              </w:rPr>
            </w:pPr>
            <w:r>
              <w:rPr>
                <w:rFonts w:ascii="Verdana" w:hAnsi="Verdana" w:cs="Arial"/>
                <w:color w:val="333E48" w:themeColor="dark1"/>
                <w:kern w:val="24"/>
                <w:sz w:val="18"/>
                <w:szCs w:val="18"/>
              </w:rPr>
              <w:t>2</w:t>
            </w:r>
          </w:p>
        </w:tc>
        <w:tc>
          <w:tcPr>
            <w:tcW w:w="2430" w:type="dxa"/>
            <w:vAlign w:val="center"/>
          </w:tcPr>
          <w:p w:rsidR="0074106F" w:rsidRPr="0074106F" w:rsidRDefault="0074106F" w:rsidP="0074106F">
            <w:pPr>
              <w:pStyle w:val="NormalWeb"/>
              <w:spacing w:beforeAutospacing="0" w:after="0" w:afterAutospacing="0"/>
              <w:cnfStyle w:val="000000010000" w:firstRow="0" w:lastRow="0" w:firstColumn="0" w:lastColumn="0" w:oddVBand="0" w:evenVBand="0" w:oddHBand="0" w:evenHBand="1" w:firstRowFirstColumn="0" w:firstRowLastColumn="0" w:lastRowFirstColumn="0" w:lastRowLastColumn="0"/>
              <w:rPr>
                <w:rFonts w:ascii="Arial" w:hAnsi="Arial" w:cs="Arial"/>
                <w:sz w:val="36"/>
                <w:szCs w:val="36"/>
              </w:rPr>
            </w:pPr>
          </w:p>
        </w:tc>
      </w:tr>
      <w:tr w:rsidR="0074106F" w:rsidTr="007410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675" w:type="dxa"/>
            <w:vAlign w:val="center"/>
          </w:tcPr>
          <w:p w:rsidR="0074106F" w:rsidRDefault="0074106F" w:rsidP="0074106F">
            <w:pPr>
              <w:pStyle w:val="NormalWeb"/>
              <w:spacing w:beforeAutospacing="0" w:after="0" w:afterAutospacing="0"/>
              <w:rPr>
                <w:rFonts w:ascii="Arial" w:hAnsi="Arial" w:cs="Arial"/>
                <w:sz w:val="36"/>
                <w:szCs w:val="36"/>
              </w:rPr>
            </w:pPr>
            <w:r>
              <w:rPr>
                <w:rFonts w:ascii="Verdana" w:hAnsi="Verdana" w:cs="Arial"/>
                <w:color w:val="333E48" w:themeColor="dark1"/>
                <w:kern w:val="24"/>
                <w:sz w:val="18"/>
                <w:szCs w:val="18"/>
              </w:rPr>
              <w:t>Improvement in Customer Satisfaction</w:t>
            </w:r>
          </w:p>
        </w:tc>
        <w:tc>
          <w:tcPr>
            <w:tcW w:w="2250" w:type="dxa"/>
            <w:vAlign w:val="center"/>
          </w:tcPr>
          <w:p w:rsidR="0074106F" w:rsidRPr="0074106F" w:rsidRDefault="0074106F" w:rsidP="0074106F">
            <w:pPr>
              <w:pStyle w:val="NormalWeb"/>
              <w:spacing w:beforeAutospacing="0" w:after="0" w:afterAutospacing="0"/>
              <w:cnfStyle w:val="000000100000" w:firstRow="0" w:lastRow="0" w:firstColumn="0" w:lastColumn="0" w:oddVBand="0" w:evenVBand="0" w:oddHBand="1" w:evenHBand="0" w:firstRowFirstColumn="0" w:firstRowLastColumn="0" w:lastRowFirstColumn="0" w:lastRowLastColumn="0"/>
              <w:rPr>
                <w:rFonts w:ascii="Verdana" w:hAnsi="Verdana" w:cs="Arial"/>
                <w:color w:val="333E48" w:themeColor="dark1"/>
                <w:kern w:val="24"/>
                <w:sz w:val="16"/>
                <w:szCs w:val="16"/>
              </w:rPr>
            </w:pPr>
          </w:p>
        </w:tc>
        <w:tc>
          <w:tcPr>
            <w:tcW w:w="1080" w:type="dxa"/>
            <w:vAlign w:val="center"/>
          </w:tcPr>
          <w:p w:rsidR="0074106F" w:rsidRDefault="0074106F" w:rsidP="0074106F">
            <w:pPr>
              <w:pStyle w:val="NormalWeb"/>
              <w:spacing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Pr>
                <w:rFonts w:ascii="Verdana" w:hAnsi="Verdana" w:cs="Arial"/>
                <w:color w:val="333E48" w:themeColor="dark1"/>
                <w:kern w:val="24"/>
                <w:sz w:val="18"/>
                <w:szCs w:val="18"/>
              </w:rPr>
              <w:t>2</w:t>
            </w:r>
          </w:p>
        </w:tc>
        <w:tc>
          <w:tcPr>
            <w:tcW w:w="2430" w:type="dxa"/>
            <w:vAlign w:val="center"/>
          </w:tcPr>
          <w:p w:rsidR="0074106F" w:rsidRPr="0074106F" w:rsidRDefault="0074106F" w:rsidP="0074106F">
            <w:pPr>
              <w:pStyle w:val="NormalWeb"/>
              <w:spacing w:beforeAutospacing="0" w:after="0" w:afterAutospacing="0"/>
              <w:cnfStyle w:val="000000100000" w:firstRow="0" w:lastRow="0" w:firstColumn="0" w:lastColumn="0" w:oddVBand="0" w:evenVBand="0" w:oddHBand="1" w:evenHBand="0" w:firstRowFirstColumn="0" w:firstRowLastColumn="0" w:lastRowFirstColumn="0" w:lastRowLastColumn="0"/>
              <w:rPr>
                <w:rFonts w:ascii="Verdana" w:hAnsi="Verdana" w:cs="Arial"/>
                <w:color w:val="333E48" w:themeColor="dark1"/>
                <w:kern w:val="24"/>
                <w:sz w:val="16"/>
                <w:szCs w:val="16"/>
              </w:rPr>
            </w:pPr>
          </w:p>
        </w:tc>
      </w:tr>
      <w:tr w:rsidR="0074106F" w:rsidTr="0074106F">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675" w:type="dxa"/>
            <w:vAlign w:val="center"/>
          </w:tcPr>
          <w:p w:rsidR="0074106F" w:rsidRDefault="0074106F" w:rsidP="0074106F">
            <w:pPr>
              <w:pStyle w:val="NormalWeb"/>
              <w:spacing w:beforeAutospacing="0" w:after="0" w:afterAutospacing="0"/>
              <w:rPr>
                <w:rFonts w:ascii="Arial" w:hAnsi="Arial" w:cs="Arial"/>
                <w:sz w:val="36"/>
                <w:szCs w:val="36"/>
              </w:rPr>
            </w:pPr>
            <w:r>
              <w:rPr>
                <w:rFonts w:ascii="Verdana" w:hAnsi="Verdana" w:cs="Arial"/>
                <w:color w:val="333E48" w:themeColor="dark1"/>
                <w:kern w:val="24"/>
                <w:sz w:val="18"/>
                <w:szCs w:val="18"/>
              </w:rPr>
              <w:t>Frequency of Activity</w:t>
            </w:r>
          </w:p>
        </w:tc>
        <w:tc>
          <w:tcPr>
            <w:tcW w:w="2250" w:type="dxa"/>
            <w:vAlign w:val="center"/>
          </w:tcPr>
          <w:p w:rsidR="0074106F" w:rsidRPr="0074106F" w:rsidRDefault="0074106F" w:rsidP="0074106F">
            <w:pPr>
              <w:pStyle w:val="NormalWeb"/>
              <w:spacing w:beforeAutospacing="0" w:after="0" w:afterAutospacing="0"/>
              <w:cnfStyle w:val="000000010000" w:firstRow="0" w:lastRow="0" w:firstColumn="0" w:lastColumn="0" w:oddVBand="0" w:evenVBand="0" w:oddHBand="0" w:evenHBand="1" w:firstRowFirstColumn="0" w:firstRowLastColumn="0" w:lastRowFirstColumn="0" w:lastRowLastColumn="0"/>
              <w:rPr>
                <w:rFonts w:ascii="Verdana" w:hAnsi="Verdana" w:cs="Arial"/>
                <w:color w:val="333E48" w:themeColor="dark1"/>
                <w:kern w:val="24"/>
                <w:sz w:val="16"/>
                <w:szCs w:val="16"/>
              </w:rPr>
            </w:pPr>
          </w:p>
        </w:tc>
        <w:tc>
          <w:tcPr>
            <w:tcW w:w="1080" w:type="dxa"/>
            <w:vAlign w:val="center"/>
          </w:tcPr>
          <w:p w:rsidR="0074106F" w:rsidRDefault="0074106F" w:rsidP="0074106F">
            <w:pPr>
              <w:pStyle w:val="NormalWeb"/>
              <w:spacing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Arial" w:hAnsi="Arial" w:cs="Arial"/>
                <w:sz w:val="36"/>
                <w:szCs w:val="36"/>
              </w:rPr>
            </w:pPr>
            <w:r>
              <w:rPr>
                <w:rFonts w:ascii="Verdana" w:hAnsi="Verdana" w:cs="Arial"/>
                <w:color w:val="333E48" w:themeColor="dark1"/>
                <w:kern w:val="24"/>
                <w:sz w:val="18"/>
                <w:szCs w:val="18"/>
              </w:rPr>
              <w:t>2</w:t>
            </w:r>
          </w:p>
        </w:tc>
        <w:tc>
          <w:tcPr>
            <w:tcW w:w="2430" w:type="dxa"/>
            <w:vAlign w:val="center"/>
          </w:tcPr>
          <w:p w:rsidR="0074106F" w:rsidRPr="0074106F" w:rsidRDefault="0074106F" w:rsidP="0074106F">
            <w:pPr>
              <w:pStyle w:val="NormalWeb"/>
              <w:spacing w:beforeAutospacing="0" w:after="0" w:afterAutospacing="0"/>
              <w:cnfStyle w:val="000000010000" w:firstRow="0" w:lastRow="0" w:firstColumn="0" w:lastColumn="0" w:oddVBand="0" w:evenVBand="0" w:oddHBand="0" w:evenHBand="1" w:firstRowFirstColumn="0" w:firstRowLastColumn="0" w:lastRowFirstColumn="0" w:lastRowLastColumn="0"/>
              <w:rPr>
                <w:rFonts w:ascii="Verdana" w:hAnsi="Verdana" w:cs="Arial"/>
                <w:color w:val="333E48" w:themeColor="dark1"/>
                <w:kern w:val="24"/>
                <w:sz w:val="16"/>
                <w:szCs w:val="16"/>
              </w:rPr>
            </w:pPr>
          </w:p>
        </w:tc>
      </w:tr>
      <w:tr w:rsidR="0074106F" w:rsidTr="007410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675" w:type="dxa"/>
            <w:vAlign w:val="center"/>
          </w:tcPr>
          <w:p w:rsidR="0074106F" w:rsidRDefault="0074106F" w:rsidP="0074106F">
            <w:pPr>
              <w:pStyle w:val="NormalWeb"/>
              <w:spacing w:beforeAutospacing="0" w:after="0" w:afterAutospacing="0"/>
              <w:rPr>
                <w:rFonts w:ascii="Arial" w:hAnsi="Arial" w:cs="Arial"/>
                <w:sz w:val="36"/>
                <w:szCs w:val="36"/>
              </w:rPr>
            </w:pPr>
            <w:r>
              <w:rPr>
                <w:rFonts w:ascii="Verdana" w:hAnsi="Verdana" w:cs="Arial"/>
                <w:color w:val="333E48" w:themeColor="dark1"/>
                <w:kern w:val="24"/>
                <w:sz w:val="18"/>
                <w:szCs w:val="18"/>
              </w:rPr>
              <w:t>Human Resource Requirements</w:t>
            </w:r>
          </w:p>
        </w:tc>
        <w:tc>
          <w:tcPr>
            <w:tcW w:w="2250" w:type="dxa"/>
            <w:vAlign w:val="center"/>
          </w:tcPr>
          <w:p w:rsidR="0074106F" w:rsidRPr="0074106F" w:rsidRDefault="0074106F" w:rsidP="0074106F">
            <w:pPr>
              <w:pStyle w:val="NormalWeb"/>
              <w:spacing w:beforeAutospacing="0" w:after="0" w:afterAutospacing="0"/>
              <w:cnfStyle w:val="000000100000" w:firstRow="0" w:lastRow="0" w:firstColumn="0" w:lastColumn="0" w:oddVBand="0" w:evenVBand="0" w:oddHBand="1" w:evenHBand="0" w:firstRowFirstColumn="0" w:firstRowLastColumn="0" w:lastRowFirstColumn="0" w:lastRowLastColumn="0"/>
              <w:rPr>
                <w:rFonts w:ascii="Verdana" w:hAnsi="Verdana" w:cs="Arial"/>
                <w:color w:val="333E48" w:themeColor="dark1"/>
                <w:kern w:val="24"/>
                <w:sz w:val="16"/>
                <w:szCs w:val="16"/>
              </w:rPr>
            </w:pPr>
          </w:p>
        </w:tc>
        <w:tc>
          <w:tcPr>
            <w:tcW w:w="1080" w:type="dxa"/>
            <w:vAlign w:val="center"/>
          </w:tcPr>
          <w:p w:rsidR="0074106F" w:rsidRDefault="0074106F" w:rsidP="0074106F">
            <w:pPr>
              <w:pStyle w:val="NormalWeb"/>
              <w:spacing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Pr>
                <w:rFonts w:ascii="Verdana" w:hAnsi="Verdana" w:cs="Arial"/>
                <w:color w:val="333E48" w:themeColor="dark1"/>
                <w:kern w:val="24"/>
                <w:sz w:val="18"/>
                <w:szCs w:val="18"/>
              </w:rPr>
              <w:t>2</w:t>
            </w:r>
          </w:p>
        </w:tc>
        <w:tc>
          <w:tcPr>
            <w:tcW w:w="2430" w:type="dxa"/>
            <w:vAlign w:val="center"/>
          </w:tcPr>
          <w:p w:rsidR="0074106F" w:rsidRPr="0074106F" w:rsidRDefault="0074106F" w:rsidP="0074106F">
            <w:pPr>
              <w:pStyle w:val="NormalWeb"/>
              <w:spacing w:beforeAutospacing="0" w:after="0" w:afterAutospacing="0"/>
              <w:cnfStyle w:val="000000100000" w:firstRow="0" w:lastRow="0" w:firstColumn="0" w:lastColumn="0" w:oddVBand="0" w:evenVBand="0" w:oddHBand="1" w:evenHBand="0" w:firstRowFirstColumn="0" w:firstRowLastColumn="0" w:lastRowFirstColumn="0" w:lastRowLastColumn="0"/>
              <w:rPr>
                <w:rFonts w:ascii="Verdana" w:hAnsi="Verdana" w:cs="Arial"/>
                <w:color w:val="333E48" w:themeColor="dark1"/>
                <w:kern w:val="24"/>
                <w:sz w:val="16"/>
                <w:szCs w:val="16"/>
              </w:rPr>
            </w:pPr>
          </w:p>
        </w:tc>
      </w:tr>
      <w:tr w:rsidR="0074106F" w:rsidTr="0074106F">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675" w:type="dxa"/>
            <w:vAlign w:val="center"/>
          </w:tcPr>
          <w:p w:rsidR="0074106F" w:rsidRDefault="0074106F" w:rsidP="0074106F">
            <w:pPr>
              <w:pStyle w:val="NormalWeb"/>
              <w:spacing w:beforeAutospacing="0" w:after="0" w:afterAutospacing="0"/>
              <w:rPr>
                <w:rFonts w:ascii="Arial" w:hAnsi="Arial" w:cs="Arial"/>
                <w:sz w:val="36"/>
                <w:szCs w:val="36"/>
              </w:rPr>
            </w:pPr>
            <w:r>
              <w:rPr>
                <w:rFonts w:ascii="Verdana" w:hAnsi="Verdana" w:cs="Arial"/>
                <w:color w:val="333E48" w:themeColor="dark1"/>
                <w:kern w:val="24"/>
                <w:sz w:val="18"/>
                <w:szCs w:val="18"/>
              </w:rPr>
              <w:t>Strategic Value</w:t>
            </w:r>
          </w:p>
        </w:tc>
        <w:tc>
          <w:tcPr>
            <w:tcW w:w="2250" w:type="dxa"/>
            <w:vAlign w:val="center"/>
          </w:tcPr>
          <w:p w:rsidR="0074106F" w:rsidRPr="0074106F" w:rsidRDefault="0074106F" w:rsidP="0074106F">
            <w:pPr>
              <w:pStyle w:val="NormalWeb"/>
              <w:spacing w:beforeAutospacing="0" w:after="0" w:afterAutospacing="0"/>
              <w:cnfStyle w:val="000000010000" w:firstRow="0" w:lastRow="0" w:firstColumn="0" w:lastColumn="0" w:oddVBand="0" w:evenVBand="0" w:oddHBand="0" w:evenHBand="1" w:firstRowFirstColumn="0" w:firstRowLastColumn="0" w:lastRowFirstColumn="0" w:lastRowLastColumn="0"/>
              <w:rPr>
                <w:rFonts w:ascii="Verdana" w:hAnsi="Verdana" w:cs="Arial"/>
                <w:color w:val="333E48" w:themeColor="dark1"/>
                <w:kern w:val="24"/>
                <w:sz w:val="16"/>
                <w:szCs w:val="16"/>
              </w:rPr>
            </w:pPr>
          </w:p>
        </w:tc>
        <w:tc>
          <w:tcPr>
            <w:tcW w:w="1080" w:type="dxa"/>
            <w:vAlign w:val="center"/>
          </w:tcPr>
          <w:p w:rsidR="0074106F" w:rsidRDefault="0074106F" w:rsidP="0074106F">
            <w:pPr>
              <w:pStyle w:val="NormalWeb"/>
              <w:spacing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Arial" w:hAnsi="Arial" w:cs="Arial"/>
                <w:sz w:val="36"/>
                <w:szCs w:val="36"/>
              </w:rPr>
            </w:pPr>
            <w:r>
              <w:rPr>
                <w:rFonts w:ascii="Verdana" w:hAnsi="Verdana" w:cs="Arial"/>
                <w:color w:val="333E48" w:themeColor="dark1"/>
                <w:kern w:val="24"/>
                <w:sz w:val="18"/>
                <w:szCs w:val="18"/>
              </w:rPr>
              <w:t>2</w:t>
            </w:r>
          </w:p>
        </w:tc>
        <w:tc>
          <w:tcPr>
            <w:tcW w:w="2430" w:type="dxa"/>
            <w:vAlign w:val="center"/>
          </w:tcPr>
          <w:p w:rsidR="0074106F" w:rsidRPr="0074106F" w:rsidRDefault="0074106F" w:rsidP="0074106F">
            <w:pPr>
              <w:pStyle w:val="NormalWeb"/>
              <w:spacing w:beforeAutospacing="0" w:after="0" w:afterAutospacing="0"/>
              <w:cnfStyle w:val="000000010000" w:firstRow="0" w:lastRow="0" w:firstColumn="0" w:lastColumn="0" w:oddVBand="0" w:evenVBand="0" w:oddHBand="0" w:evenHBand="1" w:firstRowFirstColumn="0" w:firstRowLastColumn="0" w:lastRowFirstColumn="0" w:lastRowLastColumn="0"/>
              <w:rPr>
                <w:rFonts w:ascii="Verdana" w:hAnsi="Verdana" w:cs="Arial"/>
                <w:color w:val="333E48" w:themeColor="dark1"/>
                <w:kern w:val="24"/>
                <w:sz w:val="16"/>
                <w:szCs w:val="16"/>
              </w:rPr>
            </w:pPr>
          </w:p>
        </w:tc>
      </w:tr>
      <w:tr w:rsidR="0074106F" w:rsidTr="007410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675" w:type="dxa"/>
            <w:vAlign w:val="center"/>
          </w:tcPr>
          <w:p w:rsidR="0074106F" w:rsidRDefault="0074106F" w:rsidP="0074106F">
            <w:pPr>
              <w:pStyle w:val="NormalWeb"/>
              <w:spacing w:beforeAutospacing="0" w:after="0" w:afterAutospacing="0"/>
              <w:rPr>
                <w:rFonts w:ascii="Arial" w:hAnsi="Arial" w:cs="Arial"/>
                <w:sz w:val="36"/>
                <w:szCs w:val="36"/>
              </w:rPr>
            </w:pPr>
            <w:r>
              <w:rPr>
                <w:rFonts w:ascii="Verdana" w:hAnsi="Verdana" w:cs="Arial"/>
                <w:color w:val="333E48" w:themeColor="dark1"/>
                <w:kern w:val="24"/>
                <w:sz w:val="18"/>
                <w:szCs w:val="18"/>
              </w:rPr>
              <w:t>Operational Impact</w:t>
            </w:r>
          </w:p>
        </w:tc>
        <w:tc>
          <w:tcPr>
            <w:tcW w:w="2250" w:type="dxa"/>
            <w:vAlign w:val="center"/>
          </w:tcPr>
          <w:p w:rsidR="0074106F" w:rsidRPr="0074106F" w:rsidRDefault="0074106F" w:rsidP="0074106F">
            <w:pPr>
              <w:pStyle w:val="NormalWeb"/>
              <w:spacing w:beforeAutospacing="0" w:after="0" w:afterAutospacing="0"/>
              <w:cnfStyle w:val="000000100000" w:firstRow="0" w:lastRow="0" w:firstColumn="0" w:lastColumn="0" w:oddVBand="0" w:evenVBand="0" w:oddHBand="1" w:evenHBand="0" w:firstRowFirstColumn="0" w:firstRowLastColumn="0" w:lastRowFirstColumn="0" w:lastRowLastColumn="0"/>
              <w:rPr>
                <w:rFonts w:ascii="Verdana" w:hAnsi="Verdana" w:cs="Arial"/>
                <w:color w:val="333E48" w:themeColor="dark1"/>
                <w:kern w:val="24"/>
                <w:sz w:val="16"/>
                <w:szCs w:val="16"/>
              </w:rPr>
            </w:pPr>
          </w:p>
        </w:tc>
        <w:tc>
          <w:tcPr>
            <w:tcW w:w="1080" w:type="dxa"/>
            <w:vAlign w:val="center"/>
          </w:tcPr>
          <w:p w:rsidR="0074106F" w:rsidRDefault="0074106F" w:rsidP="0074106F">
            <w:pPr>
              <w:pStyle w:val="NormalWeb"/>
              <w:spacing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Pr>
                <w:rFonts w:ascii="Verdana" w:hAnsi="Verdana" w:cs="Arial"/>
                <w:color w:val="333E48" w:themeColor="dark1"/>
                <w:kern w:val="24"/>
                <w:sz w:val="18"/>
                <w:szCs w:val="18"/>
              </w:rPr>
              <w:t>1</w:t>
            </w:r>
          </w:p>
        </w:tc>
        <w:tc>
          <w:tcPr>
            <w:tcW w:w="2430" w:type="dxa"/>
            <w:vAlign w:val="center"/>
          </w:tcPr>
          <w:p w:rsidR="0074106F" w:rsidRPr="0074106F" w:rsidRDefault="0074106F" w:rsidP="0074106F">
            <w:pPr>
              <w:pStyle w:val="NormalWeb"/>
              <w:spacing w:beforeAutospacing="0" w:after="0" w:afterAutospacing="0"/>
              <w:cnfStyle w:val="000000100000" w:firstRow="0" w:lastRow="0" w:firstColumn="0" w:lastColumn="0" w:oddVBand="0" w:evenVBand="0" w:oddHBand="1" w:evenHBand="0" w:firstRowFirstColumn="0" w:firstRowLastColumn="0" w:lastRowFirstColumn="0" w:lastRowLastColumn="0"/>
              <w:rPr>
                <w:rFonts w:ascii="Verdana" w:hAnsi="Verdana" w:cs="Arial"/>
                <w:color w:val="333E48" w:themeColor="dark1"/>
                <w:kern w:val="24"/>
                <w:sz w:val="16"/>
                <w:szCs w:val="16"/>
              </w:rPr>
            </w:pPr>
          </w:p>
        </w:tc>
      </w:tr>
      <w:tr w:rsidR="0074106F" w:rsidTr="0074106F">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675" w:type="dxa"/>
            <w:vAlign w:val="center"/>
          </w:tcPr>
          <w:p w:rsidR="0074106F" w:rsidRDefault="0074106F" w:rsidP="0074106F">
            <w:pPr>
              <w:pStyle w:val="NormalWeb"/>
              <w:spacing w:beforeAutospacing="0" w:after="0" w:afterAutospacing="0"/>
              <w:rPr>
                <w:rFonts w:ascii="Arial" w:hAnsi="Arial" w:cs="Arial"/>
                <w:sz w:val="36"/>
                <w:szCs w:val="36"/>
              </w:rPr>
            </w:pPr>
            <w:r>
              <w:rPr>
                <w:rFonts w:ascii="Verdana" w:hAnsi="Verdana" w:cs="Arial"/>
                <w:color w:val="333E48" w:themeColor="dark1"/>
                <w:kern w:val="24"/>
                <w:sz w:val="18"/>
                <w:szCs w:val="18"/>
              </w:rPr>
              <w:t>Vendor Proximity</w:t>
            </w:r>
          </w:p>
        </w:tc>
        <w:tc>
          <w:tcPr>
            <w:tcW w:w="2250" w:type="dxa"/>
            <w:vAlign w:val="center"/>
          </w:tcPr>
          <w:p w:rsidR="0074106F" w:rsidRPr="0074106F" w:rsidRDefault="0074106F" w:rsidP="0074106F">
            <w:pPr>
              <w:pStyle w:val="NormalWeb"/>
              <w:spacing w:beforeAutospacing="0" w:after="0" w:afterAutospacing="0"/>
              <w:cnfStyle w:val="000000010000" w:firstRow="0" w:lastRow="0" w:firstColumn="0" w:lastColumn="0" w:oddVBand="0" w:evenVBand="0" w:oddHBand="0" w:evenHBand="1" w:firstRowFirstColumn="0" w:firstRowLastColumn="0" w:lastRowFirstColumn="0" w:lastRowLastColumn="0"/>
              <w:rPr>
                <w:rFonts w:ascii="Verdana" w:hAnsi="Verdana" w:cs="Arial"/>
                <w:color w:val="333E48" w:themeColor="dark1"/>
                <w:kern w:val="24"/>
                <w:sz w:val="16"/>
                <w:szCs w:val="16"/>
              </w:rPr>
            </w:pPr>
          </w:p>
        </w:tc>
        <w:tc>
          <w:tcPr>
            <w:tcW w:w="1080" w:type="dxa"/>
            <w:vAlign w:val="center"/>
          </w:tcPr>
          <w:p w:rsidR="0074106F" w:rsidRDefault="0074106F" w:rsidP="0074106F">
            <w:pPr>
              <w:pStyle w:val="NormalWeb"/>
              <w:spacing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Arial" w:hAnsi="Arial" w:cs="Arial"/>
                <w:sz w:val="36"/>
                <w:szCs w:val="36"/>
              </w:rPr>
            </w:pPr>
            <w:r>
              <w:rPr>
                <w:rFonts w:ascii="Verdana" w:hAnsi="Verdana" w:cs="Arial"/>
                <w:color w:val="333E48" w:themeColor="dark1"/>
                <w:kern w:val="24"/>
                <w:sz w:val="18"/>
                <w:szCs w:val="18"/>
              </w:rPr>
              <w:t>1</w:t>
            </w:r>
          </w:p>
        </w:tc>
        <w:tc>
          <w:tcPr>
            <w:tcW w:w="2430" w:type="dxa"/>
            <w:tcBorders>
              <w:bottom w:val="single" w:sz="18" w:space="0" w:color="auto"/>
            </w:tcBorders>
            <w:vAlign w:val="center"/>
          </w:tcPr>
          <w:p w:rsidR="0074106F" w:rsidRPr="0074106F" w:rsidRDefault="0074106F" w:rsidP="0074106F">
            <w:pPr>
              <w:pStyle w:val="NormalWeb"/>
              <w:spacing w:beforeAutospacing="0" w:after="0" w:afterAutospacing="0"/>
              <w:cnfStyle w:val="000000010000" w:firstRow="0" w:lastRow="0" w:firstColumn="0" w:lastColumn="0" w:oddVBand="0" w:evenVBand="0" w:oddHBand="0" w:evenHBand="1" w:firstRowFirstColumn="0" w:firstRowLastColumn="0" w:lastRowFirstColumn="0" w:lastRowLastColumn="0"/>
              <w:rPr>
                <w:rFonts w:ascii="Verdana" w:hAnsi="Verdana" w:cs="Arial"/>
                <w:color w:val="333E48" w:themeColor="dark1"/>
                <w:kern w:val="24"/>
                <w:sz w:val="16"/>
                <w:szCs w:val="16"/>
              </w:rPr>
            </w:pPr>
          </w:p>
        </w:tc>
      </w:tr>
      <w:tr w:rsidR="0074106F" w:rsidTr="00E729FA">
        <w:trPr>
          <w:cnfStyle w:val="000000100000" w:firstRow="0" w:lastRow="0" w:firstColumn="0" w:lastColumn="0" w:oddVBand="0" w:evenVBand="0" w:oddHBand="1" w:evenHBand="0" w:firstRowFirstColumn="0" w:firstRowLastColumn="0" w:lastRowFirstColumn="0" w:lastRowLastColumn="0"/>
          <w:trHeight w:val="12"/>
        </w:trPr>
        <w:tc>
          <w:tcPr>
            <w:cnfStyle w:val="001000000000" w:firstRow="0" w:lastRow="0" w:firstColumn="1" w:lastColumn="0" w:oddVBand="0" w:evenVBand="0" w:oddHBand="0" w:evenHBand="0" w:firstRowFirstColumn="0" w:firstRowLastColumn="0" w:lastRowFirstColumn="0" w:lastRowLastColumn="0"/>
            <w:tcW w:w="8005" w:type="dxa"/>
            <w:gridSpan w:val="3"/>
            <w:tcBorders>
              <w:right w:val="single" w:sz="18" w:space="0" w:color="auto"/>
            </w:tcBorders>
            <w:vAlign w:val="center"/>
          </w:tcPr>
          <w:p w:rsidR="0074106F" w:rsidRPr="0074106F" w:rsidRDefault="0074106F" w:rsidP="0074106F">
            <w:pPr>
              <w:pStyle w:val="NormalWeb"/>
              <w:spacing w:beforeAutospacing="0" w:after="0" w:afterAutospacing="0"/>
              <w:rPr>
                <w:rFonts w:ascii="Verdana" w:hAnsi="Verdana" w:cs="Arial"/>
                <w:b/>
                <w:color w:val="333E48" w:themeColor="dark1"/>
                <w:kern w:val="24"/>
                <w:sz w:val="18"/>
                <w:szCs w:val="18"/>
              </w:rPr>
            </w:pPr>
            <w:r w:rsidRPr="0074106F">
              <w:rPr>
                <w:rFonts w:ascii="Verdana" w:hAnsi="Verdana" w:cs="Arial"/>
                <w:b/>
                <w:color w:val="333E48" w:themeColor="dark1"/>
                <w:kern w:val="24"/>
                <w:sz w:val="18"/>
                <w:szCs w:val="18"/>
              </w:rPr>
              <w:t>Total Weighted Score</w:t>
            </w:r>
          </w:p>
        </w:tc>
        <w:tc>
          <w:tcPr>
            <w:tcW w:w="2430" w:type="dxa"/>
            <w:tcBorders>
              <w:top w:val="single" w:sz="18" w:space="0" w:color="auto"/>
              <w:left w:val="single" w:sz="18" w:space="0" w:color="auto"/>
              <w:bottom w:val="single" w:sz="4" w:space="0" w:color="FFFFFF" w:themeColor="background1"/>
              <w:right w:val="single" w:sz="18" w:space="0" w:color="auto"/>
            </w:tcBorders>
            <w:vAlign w:val="center"/>
          </w:tcPr>
          <w:p w:rsidR="0074106F" w:rsidRPr="0074106F" w:rsidRDefault="0074106F" w:rsidP="0074106F">
            <w:pPr>
              <w:pStyle w:val="NormalWeb"/>
              <w:spacing w:beforeAutospacing="0" w:after="0" w:afterAutospacing="0"/>
              <w:cnfStyle w:val="000000100000" w:firstRow="0" w:lastRow="0" w:firstColumn="0" w:lastColumn="0" w:oddVBand="0" w:evenVBand="0" w:oddHBand="1" w:evenHBand="0" w:firstRowFirstColumn="0" w:firstRowLastColumn="0" w:lastRowFirstColumn="0" w:lastRowLastColumn="0"/>
              <w:rPr>
                <w:rFonts w:ascii="Verdana" w:hAnsi="Verdana" w:cs="Arial"/>
                <w:color w:val="333E48" w:themeColor="dark1"/>
                <w:kern w:val="24"/>
                <w:sz w:val="16"/>
                <w:szCs w:val="16"/>
              </w:rPr>
            </w:pPr>
          </w:p>
        </w:tc>
      </w:tr>
    </w:tbl>
    <w:p w:rsidR="00473677" w:rsidRDefault="00473677" w:rsidP="00473677">
      <w:pPr>
        <w:pStyle w:val="ListNumber"/>
        <w:numPr>
          <w:ilvl w:val="0"/>
          <w:numId w:val="0"/>
        </w:numPr>
      </w:pPr>
    </w:p>
    <w:tbl>
      <w:tblPr>
        <w:tblStyle w:val="TableGrid"/>
        <w:tblW w:w="0" w:type="auto"/>
        <w:tblInd w:w="2335" w:type="dxa"/>
        <w:tblCellMar>
          <w:top w:w="72" w:type="dxa"/>
          <w:left w:w="115" w:type="dxa"/>
          <w:bottom w:w="72" w:type="dxa"/>
          <w:right w:w="115" w:type="dxa"/>
        </w:tblCellMar>
        <w:tblLook w:val="04A0" w:firstRow="1" w:lastRow="0" w:firstColumn="1" w:lastColumn="0" w:noHBand="0" w:noVBand="1"/>
      </w:tblPr>
      <w:tblGrid>
        <w:gridCol w:w="2844"/>
        <w:gridCol w:w="2646"/>
      </w:tblGrid>
      <w:tr w:rsidR="0074106F" w:rsidTr="0074106F">
        <w:tc>
          <w:tcPr>
            <w:tcW w:w="2844" w:type="dxa"/>
            <w:shd w:val="clear" w:color="auto" w:fill="D6D8DA" w:themeFill="background2"/>
            <w:vAlign w:val="center"/>
          </w:tcPr>
          <w:p w:rsidR="0074106F" w:rsidRDefault="0074106F" w:rsidP="0074106F">
            <w:pPr>
              <w:pStyle w:val="NormalWeb"/>
              <w:spacing w:before="60" w:beforeAutospacing="0" w:after="0" w:afterAutospacing="0"/>
              <w:jc w:val="center"/>
              <w:rPr>
                <w:rFonts w:ascii="Arial" w:hAnsi="Arial" w:cs="Arial"/>
                <w:sz w:val="36"/>
                <w:szCs w:val="36"/>
              </w:rPr>
            </w:pPr>
            <w:r>
              <w:rPr>
                <w:rFonts w:ascii="Verdana" w:hAnsi="Verdana" w:cs="Arial"/>
                <w:b/>
                <w:bCs/>
                <w:color w:val="333E48" w:themeColor="text1"/>
                <w:kern w:val="24"/>
                <w:sz w:val="20"/>
                <w:szCs w:val="20"/>
              </w:rPr>
              <w:t>Total Weighted Score</w:t>
            </w:r>
          </w:p>
        </w:tc>
        <w:tc>
          <w:tcPr>
            <w:tcW w:w="2646" w:type="dxa"/>
            <w:shd w:val="clear" w:color="auto" w:fill="D6D8DA" w:themeFill="background2"/>
            <w:vAlign w:val="center"/>
          </w:tcPr>
          <w:p w:rsidR="0074106F" w:rsidRDefault="0074106F" w:rsidP="0074106F">
            <w:pPr>
              <w:pStyle w:val="NormalWeb"/>
              <w:spacing w:before="60" w:beforeAutospacing="0" w:after="0" w:afterAutospacing="0"/>
              <w:jc w:val="center"/>
              <w:rPr>
                <w:rFonts w:ascii="Arial" w:hAnsi="Arial" w:cs="Arial"/>
                <w:sz w:val="36"/>
                <w:szCs w:val="36"/>
              </w:rPr>
            </w:pPr>
            <w:r>
              <w:rPr>
                <w:rFonts w:ascii="Verdana" w:hAnsi="Verdana" w:cs="Arial"/>
                <w:b/>
                <w:bCs/>
                <w:color w:val="333E48" w:themeColor="text1"/>
                <w:kern w:val="24"/>
                <w:sz w:val="20"/>
                <w:szCs w:val="20"/>
              </w:rPr>
              <w:t>Outsourcing Viability</w:t>
            </w:r>
          </w:p>
        </w:tc>
      </w:tr>
      <w:tr w:rsidR="0074106F" w:rsidTr="0074106F">
        <w:tc>
          <w:tcPr>
            <w:tcW w:w="2844" w:type="dxa"/>
            <w:vAlign w:val="center"/>
          </w:tcPr>
          <w:p w:rsidR="0074106F" w:rsidRDefault="0074106F" w:rsidP="0074106F">
            <w:pPr>
              <w:pStyle w:val="NormalWeb"/>
              <w:spacing w:beforeAutospacing="0" w:after="0" w:afterAutospacing="0"/>
              <w:jc w:val="center"/>
              <w:rPr>
                <w:rFonts w:ascii="Arial" w:hAnsi="Arial" w:cs="Arial"/>
                <w:sz w:val="36"/>
                <w:szCs w:val="36"/>
              </w:rPr>
            </w:pPr>
            <w:r>
              <w:rPr>
                <w:rFonts w:ascii="Verdana" w:hAnsi="Verdana" w:cs="Arial"/>
                <w:color w:val="333E48" w:themeColor="dark1"/>
                <w:kern w:val="24"/>
                <w:sz w:val="18"/>
                <w:szCs w:val="18"/>
              </w:rPr>
              <w:t>0 to 12 points</w:t>
            </w:r>
          </w:p>
        </w:tc>
        <w:tc>
          <w:tcPr>
            <w:tcW w:w="2646" w:type="dxa"/>
            <w:vAlign w:val="center"/>
          </w:tcPr>
          <w:p w:rsidR="0074106F" w:rsidRDefault="0074106F" w:rsidP="0074106F">
            <w:pPr>
              <w:pStyle w:val="NormalWeb"/>
              <w:spacing w:before="60" w:beforeAutospacing="0" w:after="0" w:afterAutospacing="0"/>
              <w:jc w:val="center"/>
              <w:rPr>
                <w:rFonts w:ascii="Arial" w:hAnsi="Arial" w:cs="Arial"/>
                <w:sz w:val="36"/>
                <w:szCs w:val="36"/>
              </w:rPr>
            </w:pPr>
            <w:r>
              <w:rPr>
                <w:rFonts w:ascii="Verdana" w:hAnsi="Verdana" w:cs="Arial"/>
                <w:b/>
                <w:bCs/>
                <w:color w:val="333E48" w:themeColor="text1"/>
                <w:kern w:val="24"/>
                <w:sz w:val="18"/>
                <w:szCs w:val="18"/>
              </w:rPr>
              <w:t>Low</w:t>
            </w:r>
          </w:p>
        </w:tc>
      </w:tr>
      <w:tr w:rsidR="0074106F" w:rsidTr="0074106F">
        <w:tc>
          <w:tcPr>
            <w:tcW w:w="2844" w:type="dxa"/>
            <w:vAlign w:val="center"/>
          </w:tcPr>
          <w:p w:rsidR="0074106F" w:rsidRDefault="0074106F" w:rsidP="0074106F">
            <w:pPr>
              <w:pStyle w:val="NormalWeb"/>
              <w:spacing w:beforeAutospacing="0" w:after="0" w:afterAutospacing="0"/>
              <w:jc w:val="center"/>
              <w:rPr>
                <w:rFonts w:ascii="Arial" w:hAnsi="Arial" w:cs="Arial"/>
                <w:sz w:val="36"/>
                <w:szCs w:val="36"/>
              </w:rPr>
            </w:pPr>
            <w:r>
              <w:rPr>
                <w:rFonts w:ascii="Verdana" w:hAnsi="Verdana" w:cs="Arial"/>
                <w:color w:val="333E48" w:themeColor="dark1"/>
                <w:kern w:val="24"/>
                <w:sz w:val="18"/>
                <w:szCs w:val="18"/>
              </w:rPr>
              <w:t>13 to 27 points</w:t>
            </w:r>
          </w:p>
        </w:tc>
        <w:tc>
          <w:tcPr>
            <w:tcW w:w="2646" w:type="dxa"/>
            <w:vAlign w:val="center"/>
          </w:tcPr>
          <w:p w:rsidR="0074106F" w:rsidRDefault="0074106F" w:rsidP="0074106F">
            <w:pPr>
              <w:pStyle w:val="NormalWeb"/>
              <w:spacing w:before="60" w:beforeAutospacing="0" w:after="0" w:afterAutospacing="0"/>
              <w:jc w:val="center"/>
              <w:rPr>
                <w:rFonts w:ascii="Arial" w:hAnsi="Arial" w:cs="Arial"/>
                <w:sz w:val="36"/>
                <w:szCs w:val="36"/>
              </w:rPr>
            </w:pPr>
            <w:r>
              <w:rPr>
                <w:rFonts w:ascii="Verdana" w:hAnsi="Verdana" w:cs="Arial"/>
                <w:b/>
                <w:bCs/>
                <w:color w:val="333E48" w:themeColor="text1"/>
                <w:kern w:val="24"/>
                <w:sz w:val="18"/>
                <w:szCs w:val="18"/>
              </w:rPr>
              <w:t>Medium</w:t>
            </w:r>
          </w:p>
        </w:tc>
      </w:tr>
      <w:tr w:rsidR="0074106F" w:rsidTr="0074106F">
        <w:tc>
          <w:tcPr>
            <w:tcW w:w="2844" w:type="dxa"/>
            <w:vAlign w:val="center"/>
          </w:tcPr>
          <w:p w:rsidR="0074106F" w:rsidRDefault="0074106F" w:rsidP="0074106F">
            <w:pPr>
              <w:pStyle w:val="NormalWeb"/>
              <w:spacing w:beforeAutospacing="0" w:after="0" w:afterAutospacing="0"/>
              <w:jc w:val="center"/>
              <w:rPr>
                <w:rFonts w:ascii="Arial" w:hAnsi="Arial" w:cs="Arial"/>
                <w:sz w:val="36"/>
                <w:szCs w:val="36"/>
              </w:rPr>
            </w:pPr>
            <w:r>
              <w:rPr>
                <w:rFonts w:ascii="Verdana" w:hAnsi="Verdana" w:cs="Arial"/>
                <w:color w:val="333E48" w:themeColor="dark1"/>
                <w:kern w:val="24"/>
                <w:sz w:val="18"/>
                <w:szCs w:val="18"/>
              </w:rPr>
              <w:t>28 to 40 points</w:t>
            </w:r>
          </w:p>
        </w:tc>
        <w:tc>
          <w:tcPr>
            <w:tcW w:w="2646" w:type="dxa"/>
            <w:vAlign w:val="center"/>
          </w:tcPr>
          <w:p w:rsidR="0074106F" w:rsidRDefault="0074106F" w:rsidP="0074106F">
            <w:pPr>
              <w:pStyle w:val="NormalWeb"/>
              <w:spacing w:before="60" w:beforeAutospacing="0" w:after="0" w:afterAutospacing="0"/>
              <w:jc w:val="center"/>
              <w:rPr>
                <w:rFonts w:ascii="Arial" w:hAnsi="Arial" w:cs="Arial"/>
                <w:sz w:val="36"/>
                <w:szCs w:val="36"/>
              </w:rPr>
            </w:pPr>
            <w:r>
              <w:rPr>
                <w:rFonts w:ascii="Verdana" w:hAnsi="Verdana" w:cs="Arial"/>
                <w:b/>
                <w:bCs/>
                <w:color w:val="333E48" w:themeColor="text1"/>
                <w:kern w:val="24"/>
                <w:sz w:val="18"/>
                <w:szCs w:val="18"/>
              </w:rPr>
              <w:t>High</w:t>
            </w:r>
          </w:p>
        </w:tc>
      </w:tr>
    </w:tbl>
    <w:p w:rsidR="00473677" w:rsidRPr="001B133E" w:rsidRDefault="0074106F" w:rsidP="00473677">
      <w:pPr>
        <w:pStyle w:val="ListNumber"/>
        <w:numPr>
          <w:ilvl w:val="0"/>
          <w:numId w:val="0"/>
        </w:numPr>
      </w:pPr>
      <w:r w:rsidRPr="0074106F">
        <w:rPr>
          <w:noProof/>
        </w:rPr>
        <mc:AlternateContent>
          <mc:Choice Requires="wps">
            <w:drawing>
              <wp:anchor distT="0" distB="0" distL="114300" distR="114300" simplePos="0" relativeHeight="251659264" behindDoc="1" locked="0" layoutInCell="1" allowOverlap="1" wp14:anchorId="3BEBE494" wp14:editId="5711F865">
                <wp:simplePos x="0" y="0"/>
                <wp:positionH relativeFrom="margin">
                  <wp:align>right</wp:align>
                </wp:positionH>
                <wp:positionV relativeFrom="paragraph">
                  <wp:posOffset>369289</wp:posOffset>
                </wp:positionV>
                <wp:extent cx="6585995" cy="1033145"/>
                <wp:effectExtent l="0" t="0" r="5715" b="0"/>
                <wp:wrapTight wrapText="bothSides">
                  <wp:wrapPolygon edited="0">
                    <wp:start x="0" y="0"/>
                    <wp:lineTo x="0" y="21109"/>
                    <wp:lineTo x="21556" y="21109"/>
                    <wp:lineTo x="21556" y="0"/>
                    <wp:lineTo x="0" y="0"/>
                  </wp:wrapPolygon>
                </wp:wrapTight>
                <wp:docPr id="11" name="TextBox 10"/>
                <wp:cNvGraphicFramePr/>
                <a:graphic xmlns:a="http://schemas.openxmlformats.org/drawingml/2006/main">
                  <a:graphicData uri="http://schemas.microsoft.com/office/word/2010/wordprocessingShape">
                    <wps:wsp>
                      <wps:cNvSpPr txBox="1"/>
                      <wps:spPr bwMode="gray">
                        <a:xfrm>
                          <a:off x="0" y="0"/>
                          <a:ext cx="6585995" cy="1033145"/>
                        </a:xfrm>
                        <a:prstGeom prst="rect">
                          <a:avLst/>
                        </a:prstGeom>
                        <a:solidFill>
                          <a:schemeClr val="bg2"/>
                        </a:solidFill>
                        <a:ln w="12700">
                          <a:noFill/>
                        </a:ln>
                      </wps:spPr>
                      <wps:txbx>
                        <w:txbxContent>
                          <w:p w:rsidR="0074106F" w:rsidRPr="0074106F" w:rsidRDefault="0074106F" w:rsidP="0074106F">
                            <w:pPr>
                              <w:pStyle w:val="NormalWeb"/>
                              <w:spacing w:beforeAutospacing="0" w:after="60" w:afterAutospacing="0"/>
                              <w:rPr>
                                <w:rFonts w:asciiTheme="minorHAnsi" w:hAnsi="Verdana" w:cstheme="minorBidi"/>
                                <w:b/>
                                <w:bCs/>
                                <w:color w:val="333E48" w:themeColor="text1"/>
                                <w:kern w:val="24"/>
                                <w:sz w:val="18"/>
                                <w:szCs w:val="18"/>
                              </w:rPr>
                            </w:pPr>
                            <w:r>
                              <w:rPr>
                                <w:rFonts w:asciiTheme="minorHAnsi" w:hAnsi="Verdana" w:cstheme="minorBidi"/>
                                <w:b/>
                                <w:bCs/>
                                <w:color w:val="333E48" w:themeColor="text1"/>
                                <w:kern w:val="24"/>
                                <w:sz w:val="18"/>
                                <w:szCs w:val="18"/>
                              </w:rPr>
                              <w:t>Evaluate the Viability of Bringing a Function in House</w:t>
                            </w:r>
                          </w:p>
                          <w:p w:rsidR="0074106F" w:rsidRDefault="0074106F" w:rsidP="0074106F">
                            <w:pPr>
                              <w:pStyle w:val="NormalWeb"/>
                              <w:spacing w:beforeAutospacing="0" w:after="0" w:afterAutospacing="0"/>
                            </w:pPr>
                            <w:r>
                              <w:rPr>
                                <w:rFonts w:asciiTheme="minorHAnsi" w:hAnsi="Verdana" w:cstheme="minorBidi"/>
                                <w:color w:val="333E48" w:themeColor="text1"/>
                                <w:kern w:val="24"/>
                                <w:sz w:val="16"/>
                                <w:szCs w:val="16"/>
                              </w:rPr>
                              <w:t>While the Facilities Outsourcing Decision Worksheet is designed primarily for Facilities leaders determining the potential value of outsourcing a function or sub-function, this tool can alternatively be used to evaluate the viability of bringing an outsourced function in house. Calculate the individual criteria scores for the function based on the performance of the current service provider. After calculating the total weighted score, the in-house viability is the opposite of the outsourcing viability. For example, a function scoring between 0 and 12 points would have a “low” score for outsourcing but a “high” score for bringing it in house.</w:t>
                            </w:r>
                          </w:p>
                        </w:txbxContent>
                      </wps:txbx>
                      <wps:bodyPr wrap="square" lIns="91440" tIns="45720" rIns="91440" bIns="45720" rtlCol="0" anchor="t" anchorCtr="0">
                        <a:noAutofit/>
                      </wps:bodyPr>
                    </wps:wsp>
                  </a:graphicData>
                </a:graphic>
                <wp14:sizeRelH relativeFrom="margin">
                  <wp14:pctWidth>0</wp14:pctWidth>
                </wp14:sizeRelH>
              </wp:anchor>
            </w:drawing>
          </mc:Choice>
          <mc:Fallback>
            <w:pict>
              <v:shapetype w14:anchorId="3BEBE494" id="_x0000_t202" coordsize="21600,21600" o:spt="202" path="m,l,21600r21600,l21600,xe">
                <v:stroke joinstyle="miter"/>
                <v:path gradientshapeok="t" o:connecttype="rect"/>
              </v:shapetype>
              <v:shape id="TextBox 10" o:spid="_x0000_s1026" type="#_x0000_t202" style="position:absolute;margin-left:467.4pt;margin-top:29.1pt;width:518.6pt;height:81.3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" fillcolor="#d6d8da [3214]" stroked="f" strokeweight="1pt">
                <v:textbox>
                  <w:txbxContent>
                    <w:p w:rsidR="0074106F" w:rsidRPr="0074106F" w:rsidRDefault="0074106F" w:rsidP="0074106F">
                      <w:pPr>
                        <w:pStyle w:val="NormalWeb"/>
                        <w:spacing w:beforeAutospacing="0" w:after="60" w:afterAutospacing="0"/>
                        <w:rPr>
                          <w:rFonts w:asciiTheme="minorHAnsi" w:hAnsi="Verdana" w:cstheme="minorBidi"/>
                          <w:b/>
                          <w:bCs/>
                          <w:color w:val="333E48" w:themeColor="text1"/>
                          <w:kern w:val="24"/>
                          <w:sz w:val="18"/>
                          <w:szCs w:val="18"/>
                        </w:rPr>
                      </w:pPr>
                      <w:r>
                        <w:rPr>
                          <w:rFonts w:asciiTheme="minorHAnsi" w:hAnsi="Verdana" w:cstheme="minorBidi"/>
                          <w:b/>
                          <w:bCs/>
                          <w:color w:val="333E48" w:themeColor="text1"/>
                          <w:kern w:val="24"/>
                          <w:sz w:val="18"/>
                          <w:szCs w:val="18"/>
                        </w:rPr>
                        <w:t>Evaluate the Viability of Bringing a Function in House</w:t>
                      </w:r>
                    </w:p>
                    <w:p w:rsidR="0074106F" w:rsidRDefault="0074106F" w:rsidP="0074106F">
                      <w:pPr>
                        <w:pStyle w:val="NormalWeb"/>
                        <w:spacing w:beforeAutospacing="0" w:after="0" w:afterAutospacing="0"/>
                      </w:pPr>
                      <w:r>
                        <w:rPr>
                          <w:rFonts w:asciiTheme="minorHAnsi" w:hAnsi="Verdana" w:cstheme="minorBidi"/>
                          <w:color w:val="333E48" w:themeColor="text1"/>
                          <w:kern w:val="24"/>
                          <w:sz w:val="16"/>
                          <w:szCs w:val="16"/>
                        </w:rPr>
                        <w:t>While the Facilities Outsourcing Decision Worksheet is designed primarily for Facilities leaders determining the potential value of outsourcing a function or sub-function, this tool can alternatively be used to evaluate the viability of bringing an outsourced function in house. Calculate the individual criteria scores for the function based on the performance of the current service provider. After calculating the total weighted score, the in-house viability is the opposite of the outsourcing viability. For example, a function scoring between 0 and 12 points would have a “low” score for outsourcing but a “high” score for bringing it in house.</w:t>
                      </w:r>
                    </w:p>
                  </w:txbxContent>
                </v:textbox>
                <w10:wrap type="tight" anchorx="margin"/>
              </v:shape>
            </w:pict>
          </mc:Fallback>
        </mc:AlternateContent>
      </w:r>
    </w:p>
    <w:sectPr w:rsidR="00473677" w:rsidRPr="001B133E" w:rsidSect="003A2DC2">
      <w:footerReference w:type="default" r:id="rId8"/>
      <w:type w:val="continuous"/>
      <w:pgSz w:w="12240" w:h="15840" w:code="1"/>
      <w:pgMar w:top="720" w:right="936" w:bottom="432" w:left="936" w:header="576"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677" w:rsidRDefault="00473677" w:rsidP="009E51C7">
      <w:r>
        <w:separator/>
      </w:r>
    </w:p>
    <w:p w:rsidR="00473677" w:rsidRDefault="00473677"/>
  </w:endnote>
  <w:endnote w:type="continuationSeparator" w:id="0">
    <w:p w:rsidR="00473677" w:rsidRDefault="00473677" w:rsidP="009E51C7">
      <w:r>
        <w:continuationSeparator/>
      </w:r>
    </w:p>
    <w:p w:rsidR="00473677" w:rsidRDefault="004736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310" w:rsidRPr="004C407F" w:rsidRDefault="007A090A" w:rsidP="0087068A">
    <w:pPr>
      <w:pStyle w:val="Footer"/>
      <w:tabs>
        <w:tab w:val="clear" w:pos="4680"/>
        <w:tab w:val="clear" w:pos="9360"/>
      </w:tabs>
      <w:spacing w:before="160"/>
      <w:rPr>
        <w:sz w:val="11"/>
        <w:szCs w:val="11"/>
      </w:rPr>
    </w:pPr>
    <w:r w:rsidRPr="007A090A">
      <w:rPr>
        <w:sz w:val="11"/>
        <w:szCs w:val="11"/>
      </w:rPr>
      <w:t>©2017 EAB Global, I</w:t>
    </w:r>
    <w:r w:rsidR="0087068A">
      <w:rPr>
        <w:sz w:val="11"/>
        <w:szCs w:val="11"/>
      </w:rPr>
      <w:t>nc. • All Rights Reserved.</w:t>
    </w:r>
    <w:r w:rsidR="0087068A">
      <w:rPr>
        <w:sz w:val="11"/>
        <w:szCs w:val="11"/>
      </w:rPr>
      <w:ptab w:relativeTo="margin" w:alignment="center" w:leader="none"/>
    </w:r>
    <w:r w:rsidRPr="007A090A">
      <w:rPr>
        <w:sz w:val="17"/>
        <w:szCs w:val="17"/>
      </w:rPr>
      <w:fldChar w:fldCharType="begin"/>
    </w:r>
    <w:r w:rsidRPr="007A090A">
      <w:rPr>
        <w:sz w:val="17"/>
        <w:szCs w:val="17"/>
      </w:rPr>
      <w:instrText xml:space="preserve"> PAGE   \* MERGEFORMAT </w:instrText>
    </w:r>
    <w:r w:rsidRPr="007A090A">
      <w:rPr>
        <w:sz w:val="17"/>
        <w:szCs w:val="17"/>
      </w:rPr>
      <w:fldChar w:fldCharType="separate"/>
    </w:r>
    <w:r w:rsidR="00B0315D">
      <w:rPr>
        <w:noProof/>
        <w:sz w:val="17"/>
        <w:szCs w:val="17"/>
      </w:rPr>
      <w:t>3</w:t>
    </w:r>
    <w:r w:rsidRPr="007A090A">
      <w:rPr>
        <w:noProof/>
        <w:sz w:val="17"/>
        <w:szCs w:val="17"/>
      </w:rPr>
      <w:fldChar w:fldCharType="end"/>
    </w:r>
    <w:r w:rsidR="0087068A" w:rsidRPr="0087068A">
      <w:rPr>
        <w:noProof/>
        <w:sz w:val="11"/>
        <w:szCs w:val="11"/>
      </w:rPr>
      <w:ptab w:relativeTo="margin" w:alignment="right" w:leader="none"/>
    </w:r>
    <w:hyperlink r:id="rId1" w:history="1">
      <w:r w:rsidRPr="007A090A">
        <w:rPr>
          <w:rStyle w:val="Hyperlink"/>
          <w:b/>
          <w:color w:val="333E48" w:themeColor="text1"/>
          <w:sz w:val="11"/>
          <w:szCs w:val="11"/>
          <w:u w:val="none"/>
        </w:rPr>
        <w:t>eab.com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677" w:rsidRPr="00791772" w:rsidRDefault="00473677" w:rsidP="00791772">
      <w:pPr>
        <w:pStyle w:val="Footer"/>
        <w:rPr>
          <w:sz w:val="10"/>
          <w:szCs w:val="10"/>
        </w:rPr>
      </w:pPr>
    </w:p>
  </w:footnote>
  <w:footnote w:type="continuationSeparator" w:id="0">
    <w:p w:rsidR="00473677" w:rsidRDefault="00473677" w:rsidP="009E51C7">
      <w:r>
        <w:continuationSeparator/>
      </w:r>
    </w:p>
    <w:p w:rsidR="00473677" w:rsidRDefault="00473677"/>
  </w:footnote>
  <w:footnote w:id="1">
    <w:p w:rsidR="00473677" w:rsidRDefault="00473677" w:rsidP="00473677">
      <w:pPr>
        <w:pStyle w:val="FootnoteText"/>
      </w:pPr>
      <w:r>
        <w:t xml:space="preserve">As these criteria are inversely proportional to each other, they should obtain reciprocal scores </w:t>
      </w:r>
      <w:r>
        <w:br/>
        <w:t>(i.e., rating one as a “2” would naturally lead to rating the other a “0”).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0283B8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29E45BF0"/>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7410156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1E2DEC"/>
    <w:multiLevelType w:val="multilevel"/>
    <w:tmpl w:val="5510B8D0"/>
    <w:lvl w:ilvl="0">
      <w:start w:val="1"/>
      <w:numFmt w:val="bullet"/>
      <w:lvlText w:val="•"/>
      <w:lvlJc w:val="left"/>
      <w:pPr>
        <w:ind w:left="187" w:hanging="187"/>
      </w:pPr>
      <w:rPr>
        <w:rFonts w:ascii="Verdana" w:hAnsi="Verdana" w:hint="default"/>
        <w:sz w:val="16"/>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6"/>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C92BC3"/>
    <w:multiLevelType w:val="multilevel"/>
    <w:tmpl w:val="309640B0"/>
    <w:lvl w:ilvl="0">
      <w:start w:val="1"/>
      <w:numFmt w:val="bullet"/>
      <w:pStyle w:val="ListBullet2"/>
      <w:lvlText w:val="•"/>
      <w:lvlJc w:val="left"/>
      <w:pPr>
        <w:ind w:left="187" w:hanging="187"/>
      </w:pPr>
      <w:rPr>
        <w:rFonts w:ascii="Arial" w:hAnsi="Arial" w:hint="default"/>
        <w:sz w:val="18"/>
      </w:rPr>
    </w:lvl>
    <w:lvl w:ilvl="1">
      <w:start w:val="1"/>
      <w:numFmt w:val="bullet"/>
      <w:lvlText w:val="–"/>
      <w:lvlJc w:val="left"/>
      <w:pPr>
        <w:ind w:left="374" w:hanging="187"/>
      </w:pPr>
      <w:rPr>
        <w:rFonts w:ascii="Arial" w:hAnsi="Arial" w:hint="default"/>
      </w:rPr>
    </w:lvl>
    <w:lvl w:ilvl="2">
      <w:start w:val="1"/>
      <w:numFmt w:val="bullet"/>
      <w:lvlText w:val="•"/>
      <w:lvlJc w:val="left"/>
      <w:pPr>
        <w:ind w:left="562" w:hanging="188"/>
      </w:pPr>
      <w:rPr>
        <w:rFonts w:ascii="Arial" w:hAnsi="Arial" w:hint="default"/>
      </w:rPr>
    </w:lvl>
    <w:lvl w:ilvl="3">
      <w:start w:val="1"/>
      <w:numFmt w:val="bullet"/>
      <w:lvlText w:val="–"/>
      <w:lvlJc w:val="left"/>
      <w:pPr>
        <w:ind w:left="749" w:hanging="187"/>
      </w:pPr>
      <w:rPr>
        <w:rFonts w:ascii="Verdana" w:hAnsi="Verdana" w:hint="default"/>
      </w:rPr>
    </w:lvl>
    <w:lvl w:ilvl="4">
      <w:start w:val="1"/>
      <w:numFmt w:val="bullet"/>
      <w:lvlText w:val="•"/>
      <w:lvlJc w:val="left"/>
      <w:pPr>
        <w:ind w:left="936" w:hanging="187"/>
      </w:pPr>
      <w:rPr>
        <w:rFonts w:ascii="Arial" w:hAnsi="Arial" w:hint="default"/>
      </w:rPr>
    </w:lvl>
    <w:lvl w:ilvl="5">
      <w:start w:val="1"/>
      <w:numFmt w:val="bullet"/>
      <w:lvlText w:val="–"/>
      <w:lvlJc w:val="left"/>
      <w:pPr>
        <w:ind w:left="1123" w:hanging="187"/>
      </w:pPr>
      <w:rPr>
        <w:rFonts w:ascii="Verdana" w:hAnsi="Verdana" w:hint="default"/>
      </w:rPr>
    </w:lvl>
    <w:lvl w:ilvl="6">
      <w:start w:val="1"/>
      <w:numFmt w:val="bullet"/>
      <w:lvlText w:val="•"/>
      <w:lvlJc w:val="left"/>
      <w:pPr>
        <w:ind w:left="1310" w:hanging="187"/>
      </w:pPr>
      <w:rPr>
        <w:rFonts w:ascii="Arial" w:hAnsi="Arial" w:hint="default"/>
      </w:rPr>
    </w:lvl>
    <w:lvl w:ilvl="7">
      <w:start w:val="1"/>
      <w:numFmt w:val="bullet"/>
      <w:lvlText w:val="–"/>
      <w:lvlJc w:val="left"/>
      <w:pPr>
        <w:ind w:left="1498" w:hanging="188"/>
      </w:pPr>
      <w:rPr>
        <w:rFonts w:ascii="Verdana" w:hAnsi="Verdana" w:hint="default"/>
      </w:rPr>
    </w:lvl>
    <w:lvl w:ilvl="8">
      <w:start w:val="1"/>
      <w:numFmt w:val="bullet"/>
      <w:lvlText w:val="•"/>
      <w:lvlJc w:val="left"/>
      <w:pPr>
        <w:ind w:left="1685" w:hanging="187"/>
      </w:pPr>
      <w:rPr>
        <w:rFonts w:ascii="Arial" w:hAnsi="Arial" w:hint="default"/>
      </w:rPr>
    </w:lvl>
  </w:abstractNum>
  <w:abstractNum w:abstractNumId="5" w15:restartNumberingAfterBreak="0">
    <w:nsid w:val="1C7316AF"/>
    <w:multiLevelType w:val="hybridMultilevel"/>
    <w:tmpl w:val="4F60A8E2"/>
    <w:lvl w:ilvl="0" w:tplc="78BAF06C">
      <w:start w:val="1"/>
      <w:numFmt w:val="decimal"/>
      <w:pStyle w:val="Footnote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0D4470"/>
    <w:multiLevelType w:val="multilevel"/>
    <w:tmpl w:val="261ED9CE"/>
    <w:lvl w:ilvl="0">
      <w:start w:val="1"/>
      <w:numFmt w:val="decimal"/>
      <w:pStyle w:val="ListNumber"/>
      <w:lvlText w:val="%1."/>
      <w:lvlJc w:val="left"/>
      <w:pPr>
        <w:ind w:left="3067" w:hanging="360"/>
      </w:pPr>
      <w:rPr>
        <w:rFonts w:hint="default"/>
        <w:sz w:val="18"/>
      </w:rPr>
    </w:lvl>
    <w:lvl w:ilvl="1">
      <w:start w:val="1"/>
      <w:numFmt w:val="lowerLetter"/>
      <w:lvlText w:val="%2."/>
      <w:lvlJc w:val="left"/>
      <w:pPr>
        <w:ind w:left="3427" w:hanging="360"/>
      </w:pPr>
      <w:rPr>
        <w:rFonts w:hint="default"/>
      </w:rPr>
    </w:lvl>
    <w:lvl w:ilvl="2">
      <w:start w:val="1"/>
      <w:numFmt w:val="lowerRoman"/>
      <w:lvlText w:val="%3."/>
      <w:lvlJc w:val="left"/>
      <w:pPr>
        <w:tabs>
          <w:tab w:val="num" w:pos="3427"/>
        </w:tabs>
        <w:ind w:left="3787" w:hanging="360"/>
      </w:pPr>
      <w:rPr>
        <w:rFonts w:hint="default"/>
      </w:rPr>
    </w:lvl>
    <w:lvl w:ilvl="3">
      <w:start w:val="1"/>
      <w:numFmt w:val="upperLetter"/>
      <w:lvlText w:val="%4."/>
      <w:lvlJc w:val="left"/>
      <w:pPr>
        <w:tabs>
          <w:tab w:val="num" w:pos="3787"/>
        </w:tabs>
        <w:ind w:left="4147" w:hanging="360"/>
      </w:pPr>
      <w:rPr>
        <w:rFonts w:hint="default"/>
      </w:rPr>
    </w:lvl>
    <w:lvl w:ilvl="4">
      <w:start w:val="1"/>
      <w:numFmt w:val="bullet"/>
      <w:lvlText w:val="•"/>
      <w:lvlJc w:val="left"/>
      <w:pPr>
        <w:ind w:left="3643" w:hanging="187"/>
      </w:pPr>
      <w:rPr>
        <w:rFonts w:ascii="Arial" w:hAnsi="Arial" w:hint="default"/>
      </w:rPr>
    </w:lvl>
    <w:lvl w:ilvl="5">
      <w:start w:val="1"/>
      <w:numFmt w:val="bullet"/>
      <w:lvlText w:val="–"/>
      <w:lvlJc w:val="left"/>
      <w:pPr>
        <w:ind w:left="3830" w:hanging="187"/>
      </w:pPr>
      <w:rPr>
        <w:rFonts w:ascii="Verdana" w:hAnsi="Verdana" w:hint="default"/>
      </w:rPr>
    </w:lvl>
    <w:lvl w:ilvl="6">
      <w:start w:val="1"/>
      <w:numFmt w:val="bullet"/>
      <w:lvlText w:val="•"/>
      <w:lvlJc w:val="left"/>
      <w:pPr>
        <w:ind w:left="4018" w:hanging="188"/>
      </w:pPr>
      <w:rPr>
        <w:rFonts w:ascii="Arial" w:hAnsi="Arial" w:hint="default"/>
      </w:rPr>
    </w:lvl>
    <w:lvl w:ilvl="7">
      <w:start w:val="1"/>
      <w:numFmt w:val="bullet"/>
      <w:lvlText w:val="–"/>
      <w:lvlJc w:val="left"/>
      <w:pPr>
        <w:ind w:left="4205" w:hanging="187"/>
      </w:pPr>
      <w:rPr>
        <w:rFonts w:ascii="Verdana" w:hAnsi="Verdana" w:hint="default"/>
      </w:rPr>
    </w:lvl>
    <w:lvl w:ilvl="8">
      <w:start w:val="1"/>
      <w:numFmt w:val="bullet"/>
      <w:lvlText w:val="•"/>
      <w:lvlJc w:val="left"/>
      <w:pPr>
        <w:ind w:left="4392" w:hanging="187"/>
      </w:pPr>
      <w:rPr>
        <w:rFonts w:ascii="Arial" w:hAnsi="Arial" w:hint="default"/>
      </w:rPr>
    </w:lvl>
  </w:abstractNum>
  <w:abstractNum w:abstractNumId="7" w15:restartNumberingAfterBreak="0">
    <w:nsid w:val="2C723A9A"/>
    <w:multiLevelType w:val="multilevel"/>
    <w:tmpl w:val="5510B8D0"/>
    <w:lvl w:ilvl="0">
      <w:start w:val="1"/>
      <w:numFmt w:val="bullet"/>
      <w:lvlText w:val="•"/>
      <w:lvlJc w:val="left"/>
      <w:pPr>
        <w:ind w:left="187" w:hanging="187"/>
      </w:pPr>
      <w:rPr>
        <w:rFonts w:ascii="Verdana" w:hAnsi="Verdana" w:hint="default"/>
        <w:sz w:val="16"/>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6"/>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F4776D"/>
    <w:multiLevelType w:val="multilevel"/>
    <w:tmpl w:val="8516208A"/>
    <w:lvl w:ilvl="0">
      <w:start w:val="1"/>
      <w:numFmt w:val="bullet"/>
      <w:pStyle w:val="ListBullet"/>
      <w:lvlText w:val="•"/>
      <w:lvlJc w:val="left"/>
      <w:pPr>
        <w:ind w:left="2894" w:hanging="187"/>
      </w:pPr>
      <w:rPr>
        <w:rFonts w:ascii="Arial" w:hAnsi="Arial" w:hint="default"/>
        <w:sz w:val="18"/>
      </w:rPr>
    </w:lvl>
    <w:lvl w:ilvl="1">
      <w:start w:val="1"/>
      <w:numFmt w:val="bullet"/>
      <w:lvlText w:val="–"/>
      <w:lvlJc w:val="left"/>
      <w:pPr>
        <w:ind w:left="3082" w:hanging="188"/>
      </w:pPr>
      <w:rPr>
        <w:rFonts w:ascii="Arial" w:hAnsi="Arial" w:hint="default"/>
      </w:rPr>
    </w:lvl>
    <w:lvl w:ilvl="2">
      <w:start w:val="1"/>
      <w:numFmt w:val="bullet"/>
      <w:lvlText w:val="•"/>
      <w:lvlJc w:val="left"/>
      <w:pPr>
        <w:ind w:left="3269" w:hanging="187"/>
      </w:pPr>
      <w:rPr>
        <w:rFonts w:ascii="Arial" w:hAnsi="Arial" w:hint="default"/>
      </w:rPr>
    </w:lvl>
    <w:lvl w:ilvl="3">
      <w:start w:val="1"/>
      <w:numFmt w:val="bullet"/>
      <w:lvlText w:val="–"/>
      <w:lvlJc w:val="left"/>
      <w:pPr>
        <w:ind w:left="3456" w:hanging="187"/>
      </w:pPr>
      <w:rPr>
        <w:rFonts w:ascii="Verdana" w:hAnsi="Verdana" w:hint="default"/>
      </w:rPr>
    </w:lvl>
    <w:lvl w:ilvl="4">
      <w:start w:val="1"/>
      <w:numFmt w:val="bullet"/>
      <w:lvlText w:val="•"/>
      <w:lvlJc w:val="left"/>
      <w:pPr>
        <w:ind w:left="3643" w:hanging="187"/>
      </w:pPr>
      <w:rPr>
        <w:rFonts w:ascii="Arial" w:hAnsi="Arial" w:hint="default"/>
      </w:rPr>
    </w:lvl>
    <w:lvl w:ilvl="5">
      <w:start w:val="1"/>
      <w:numFmt w:val="bullet"/>
      <w:lvlText w:val="–"/>
      <w:lvlJc w:val="left"/>
      <w:pPr>
        <w:ind w:left="3830" w:hanging="187"/>
      </w:pPr>
      <w:rPr>
        <w:rFonts w:ascii="Verdana" w:hAnsi="Verdana" w:hint="default"/>
      </w:rPr>
    </w:lvl>
    <w:lvl w:ilvl="6">
      <w:start w:val="1"/>
      <w:numFmt w:val="bullet"/>
      <w:lvlText w:val="•"/>
      <w:lvlJc w:val="left"/>
      <w:pPr>
        <w:ind w:left="4018" w:hanging="188"/>
      </w:pPr>
      <w:rPr>
        <w:rFonts w:ascii="Arial" w:hAnsi="Arial" w:hint="default"/>
      </w:rPr>
    </w:lvl>
    <w:lvl w:ilvl="7">
      <w:start w:val="1"/>
      <w:numFmt w:val="bullet"/>
      <w:lvlText w:val="–"/>
      <w:lvlJc w:val="left"/>
      <w:pPr>
        <w:ind w:left="4205" w:hanging="187"/>
      </w:pPr>
      <w:rPr>
        <w:rFonts w:ascii="Verdana" w:hAnsi="Verdana" w:hint="default"/>
      </w:rPr>
    </w:lvl>
    <w:lvl w:ilvl="8">
      <w:start w:val="1"/>
      <w:numFmt w:val="bullet"/>
      <w:lvlText w:val="•"/>
      <w:lvlJc w:val="left"/>
      <w:pPr>
        <w:ind w:left="4392" w:hanging="187"/>
      </w:pPr>
      <w:rPr>
        <w:rFonts w:ascii="Arial" w:hAnsi="Arial" w:hint="default"/>
      </w:rPr>
    </w:lvl>
  </w:abstractNum>
  <w:abstractNum w:abstractNumId="9" w15:restartNumberingAfterBreak="0">
    <w:nsid w:val="450C0E71"/>
    <w:multiLevelType w:val="multilevel"/>
    <w:tmpl w:val="5510B8D0"/>
    <w:lvl w:ilvl="0">
      <w:start w:val="1"/>
      <w:numFmt w:val="bullet"/>
      <w:lvlText w:val="•"/>
      <w:lvlJc w:val="left"/>
      <w:pPr>
        <w:ind w:left="187" w:hanging="187"/>
      </w:pPr>
      <w:rPr>
        <w:rFonts w:ascii="Verdana" w:hAnsi="Verdana" w:hint="default"/>
        <w:sz w:val="16"/>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6"/>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C0063CD"/>
    <w:multiLevelType w:val="multilevel"/>
    <w:tmpl w:val="FA2C0762"/>
    <w:lvl w:ilvl="0">
      <w:start w:val="1"/>
      <w:numFmt w:val="bullet"/>
      <w:lvlText w:val="•"/>
      <w:lvlJc w:val="left"/>
      <w:pPr>
        <w:ind w:left="187" w:hanging="187"/>
      </w:pPr>
      <w:rPr>
        <w:rFonts w:ascii="Verdana" w:hAnsi="Verdana" w:hint="default"/>
        <w:sz w:val="12"/>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2"/>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4055E5"/>
    <w:multiLevelType w:val="multilevel"/>
    <w:tmpl w:val="5510B8D0"/>
    <w:lvl w:ilvl="0">
      <w:start w:val="1"/>
      <w:numFmt w:val="bullet"/>
      <w:lvlText w:val="•"/>
      <w:lvlJc w:val="left"/>
      <w:pPr>
        <w:ind w:left="187" w:hanging="187"/>
      </w:pPr>
      <w:rPr>
        <w:rFonts w:ascii="Verdana" w:hAnsi="Verdana" w:hint="default"/>
        <w:sz w:val="16"/>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6"/>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46A298F"/>
    <w:multiLevelType w:val="hybridMultilevel"/>
    <w:tmpl w:val="1A741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num>
  <w:num w:numId="7">
    <w:abstractNumId w:val="4"/>
  </w:num>
  <w:num w:numId="8">
    <w:abstractNumId w:val="1"/>
  </w:num>
  <w:num w:numId="9">
    <w:abstractNumId w:val="10"/>
  </w:num>
  <w:num w:numId="10">
    <w:abstractNumId w:val="11"/>
  </w:num>
  <w:num w:numId="11">
    <w:abstractNumId w:val="12"/>
  </w:num>
  <w:num w:numId="12">
    <w:abstractNumId w:val="3"/>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removePersonalInformation/>
  <w:removeDateAndTime/>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677"/>
    <w:rsid w:val="00011D25"/>
    <w:rsid w:val="0003039A"/>
    <w:rsid w:val="000465DC"/>
    <w:rsid w:val="0005052C"/>
    <w:rsid w:val="00067394"/>
    <w:rsid w:val="00077268"/>
    <w:rsid w:val="0008000B"/>
    <w:rsid w:val="000818CE"/>
    <w:rsid w:val="00097927"/>
    <w:rsid w:val="000A6311"/>
    <w:rsid w:val="001514C1"/>
    <w:rsid w:val="00163B5B"/>
    <w:rsid w:val="00186A19"/>
    <w:rsid w:val="0019055E"/>
    <w:rsid w:val="001A742D"/>
    <w:rsid w:val="001B133E"/>
    <w:rsid w:val="001C226B"/>
    <w:rsid w:val="001D3D1F"/>
    <w:rsid w:val="0020277E"/>
    <w:rsid w:val="00207B46"/>
    <w:rsid w:val="00220C74"/>
    <w:rsid w:val="002533BA"/>
    <w:rsid w:val="0029158A"/>
    <w:rsid w:val="002A29A3"/>
    <w:rsid w:val="002B1821"/>
    <w:rsid w:val="002C0142"/>
    <w:rsid w:val="002C45D1"/>
    <w:rsid w:val="002E56A7"/>
    <w:rsid w:val="00332775"/>
    <w:rsid w:val="00334422"/>
    <w:rsid w:val="00342301"/>
    <w:rsid w:val="00352357"/>
    <w:rsid w:val="00393BA2"/>
    <w:rsid w:val="003A2DC2"/>
    <w:rsid w:val="004430AE"/>
    <w:rsid w:val="004503C5"/>
    <w:rsid w:val="00452EDA"/>
    <w:rsid w:val="00452FBA"/>
    <w:rsid w:val="00456CB2"/>
    <w:rsid w:val="00461DF1"/>
    <w:rsid w:val="00473677"/>
    <w:rsid w:val="004A164F"/>
    <w:rsid w:val="004A167E"/>
    <w:rsid w:val="004B11FB"/>
    <w:rsid w:val="004C407F"/>
    <w:rsid w:val="004D1515"/>
    <w:rsid w:val="0051407E"/>
    <w:rsid w:val="00523343"/>
    <w:rsid w:val="00544589"/>
    <w:rsid w:val="00585ECA"/>
    <w:rsid w:val="005B4DF4"/>
    <w:rsid w:val="005C72AC"/>
    <w:rsid w:val="005E7750"/>
    <w:rsid w:val="005F0098"/>
    <w:rsid w:val="006067BA"/>
    <w:rsid w:val="00654FCE"/>
    <w:rsid w:val="006832FE"/>
    <w:rsid w:val="0069220C"/>
    <w:rsid w:val="006B5327"/>
    <w:rsid w:val="006D2035"/>
    <w:rsid w:val="006D4AD8"/>
    <w:rsid w:val="00706FF9"/>
    <w:rsid w:val="0074106F"/>
    <w:rsid w:val="00751D77"/>
    <w:rsid w:val="00752E1B"/>
    <w:rsid w:val="00756257"/>
    <w:rsid w:val="00791772"/>
    <w:rsid w:val="007975B2"/>
    <w:rsid w:val="007A090A"/>
    <w:rsid w:val="007C5171"/>
    <w:rsid w:val="007D233E"/>
    <w:rsid w:val="007D4D16"/>
    <w:rsid w:val="007E7B6A"/>
    <w:rsid w:val="00803999"/>
    <w:rsid w:val="0080522F"/>
    <w:rsid w:val="00805BB0"/>
    <w:rsid w:val="0085649A"/>
    <w:rsid w:val="00860A0B"/>
    <w:rsid w:val="008637CA"/>
    <w:rsid w:val="0087068A"/>
    <w:rsid w:val="00875608"/>
    <w:rsid w:val="00890A66"/>
    <w:rsid w:val="008A634B"/>
    <w:rsid w:val="008A6F5A"/>
    <w:rsid w:val="008D5ADF"/>
    <w:rsid w:val="008E11E5"/>
    <w:rsid w:val="00911C48"/>
    <w:rsid w:val="0092611A"/>
    <w:rsid w:val="00962F12"/>
    <w:rsid w:val="00980888"/>
    <w:rsid w:val="0099010F"/>
    <w:rsid w:val="009D1BBA"/>
    <w:rsid w:val="009D40B0"/>
    <w:rsid w:val="009E51C7"/>
    <w:rsid w:val="009F4310"/>
    <w:rsid w:val="009F6A8E"/>
    <w:rsid w:val="00A3497D"/>
    <w:rsid w:val="00A43207"/>
    <w:rsid w:val="00A56531"/>
    <w:rsid w:val="00A6290D"/>
    <w:rsid w:val="00AB169E"/>
    <w:rsid w:val="00AD0E0E"/>
    <w:rsid w:val="00AE2A32"/>
    <w:rsid w:val="00AE6B0C"/>
    <w:rsid w:val="00AF1D23"/>
    <w:rsid w:val="00B0315D"/>
    <w:rsid w:val="00B06293"/>
    <w:rsid w:val="00B0709F"/>
    <w:rsid w:val="00B1112E"/>
    <w:rsid w:val="00B23C36"/>
    <w:rsid w:val="00B26543"/>
    <w:rsid w:val="00B31CF5"/>
    <w:rsid w:val="00BB40B4"/>
    <w:rsid w:val="00BB5071"/>
    <w:rsid w:val="00BD77EA"/>
    <w:rsid w:val="00BD795A"/>
    <w:rsid w:val="00C229DE"/>
    <w:rsid w:val="00C46749"/>
    <w:rsid w:val="00C67584"/>
    <w:rsid w:val="00C74D9F"/>
    <w:rsid w:val="00C81313"/>
    <w:rsid w:val="00C921EB"/>
    <w:rsid w:val="00CA1BA5"/>
    <w:rsid w:val="00CA706A"/>
    <w:rsid w:val="00CD54F9"/>
    <w:rsid w:val="00CE1A07"/>
    <w:rsid w:val="00D1536A"/>
    <w:rsid w:val="00D25471"/>
    <w:rsid w:val="00D46C2A"/>
    <w:rsid w:val="00D571D5"/>
    <w:rsid w:val="00D733D0"/>
    <w:rsid w:val="00D755C8"/>
    <w:rsid w:val="00DD3EEF"/>
    <w:rsid w:val="00DE49A3"/>
    <w:rsid w:val="00E21CEA"/>
    <w:rsid w:val="00E61FA6"/>
    <w:rsid w:val="00E729FA"/>
    <w:rsid w:val="00E73C9B"/>
    <w:rsid w:val="00EC02C5"/>
    <w:rsid w:val="00F10612"/>
    <w:rsid w:val="00F304F1"/>
    <w:rsid w:val="00F718E4"/>
    <w:rsid w:val="00F72FE3"/>
    <w:rsid w:val="00F95D40"/>
    <w:rsid w:val="00FA5305"/>
    <w:rsid w:val="00FA7EB9"/>
    <w:rsid w:val="00FB5404"/>
    <w:rsid w:val="00FB6B66"/>
    <w:rsid w:val="00FC5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333E48" w:themeColor="text1"/>
        <w:sz w:val="18"/>
        <w:szCs w:val="1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1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29"/>
    <w:lsdException w:name="annotation text" w:semiHidden="1"/>
    <w:lsdException w:name="header" w:semiHidden="1" w:unhideWhenUsed="1"/>
    <w:lsdException w:name="footer" w:semiHidden="1" w:unhideWhenUsed="1"/>
    <w:lsdException w:name="index heading" w:semiHidden="1"/>
    <w:lsdException w:name="caption" w:semiHidden="1" w:uiPriority="3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2" w:qFormat="1"/>
    <w:lsdException w:name="List Number" w:uiPriority="2" w:qFormat="1"/>
    <w:lsdException w:name="List 2" w:semiHidden="1"/>
    <w:lsdException w:name="List 3" w:semiHidden="1"/>
    <w:lsdException w:name="List 4" w:semiHidden="1"/>
    <w:lsdException w:name="List 5" w:semiHidden="1"/>
    <w:lsdException w:name="List Bullet 2" w:uiPriority="2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2C0142"/>
    <w:pPr>
      <w:spacing w:after="0" w:line="240" w:lineRule="auto"/>
    </w:pPr>
  </w:style>
  <w:style w:type="paragraph" w:styleId="Heading1">
    <w:name w:val="heading 1"/>
    <w:aliases w:val="EAB Heading 1 (Linked)"/>
    <w:basedOn w:val="Normal"/>
    <w:next w:val="Heading2"/>
    <w:link w:val="Heading1Char"/>
    <w:qFormat/>
    <w:rsid w:val="007E7B6A"/>
    <w:pPr>
      <w:keepNext/>
      <w:keepLines/>
      <w:pBdr>
        <w:bottom w:val="single" w:sz="6" w:space="3" w:color="auto"/>
      </w:pBdr>
      <w:suppressAutoHyphens/>
      <w:spacing w:before="240" w:after="80"/>
      <w:outlineLvl w:val="0"/>
    </w:pPr>
    <w:rPr>
      <w:rFonts w:asciiTheme="majorHAnsi" w:eastAsiaTheme="majorEastAsia" w:hAnsiTheme="majorHAnsi" w:cstheme="majorBidi"/>
      <w:color w:val="004A88" w:themeColor="accent5"/>
      <w:spacing w:val="10"/>
      <w:sz w:val="40"/>
      <w:szCs w:val="32"/>
    </w:rPr>
  </w:style>
  <w:style w:type="paragraph" w:styleId="Heading2">
    <w:name w:val="heading 2"/>
    <w:aliases w:val="EAB Heading 2 (Linked)"/>
    <w:basedOn w:val="Normal"/>
    <w:next w:val="Heading3"/>
    <w:link w:val="Heading2Char"/>
    <w:qFormat/>
    <w:rsid w:val="007E7B6A"/>
    <w:pPr>
      <w:keepNext/>
      <w:keepLines/>
      <w:suppressAutoHyphens/>
      <w:spacing w:after="240"/>
      <w:outlineLvl w:val="1"/>
    </w:pPr>
    <w:rPr>
      <w:rFonts w:eastAsiaTheme="majorEastAsia" w:cstheme="majorBidi"/>
      <w:sz w:val="26"/>
      <w:szCs w:val="26"/>
    </w:rPr>
  </w:style>
  <w:style w:type="paragraph" w:styleId="Heading3">
    <w:name w:val="heading 3"/>
    <w:aliases w:val="EAB Heading 3 (Linked)"/>
    <w:basedOn w:val="Normal"/>
    <w:next w:val="Heading4"/>
    <w:link w:val="Heading3Char"/>
    <w:qFormat/>
    <w:rsid w:val="007E7B6A"/>
    <w:pPr>
      <w:keepNext/>
      <w:keepLines/>
      <w:suppressAutoHyphens/>
      <w:spacing w:before="400"/>
      <w:ind w:left="2520"/>
      <w:outlineLvl w:val="2"/>
    </w:pPr>
    <w:rPr>
      <w:rFonts w:eastAsiaTheme="majorEastAsia" w:cstheme="majorBidi"/>
      <w:b/>
      <w:color w:val="A0A4A9" w:themeColor="accent2"/>
      <w:sz w:val="24"/>
      <w:szCs w:val="24"/>
    </w:rPr>
  </w:style>
  <w:style w:type="paragraph" w:styleId="Heading4">
    <w:name w:val="heading 4"/>
    <w:aliases w:val="EAB Graphic Title / EAB Heading 4"/>
    <w:basedOn w:val="Normal"/>
    <w:next w:val="Heading5"/>
    <w:link w:val="Heading4Char"/>
    <w:uiPriority w:val="9"/>
    <w:qFormat/>
    <w:rsid w:val="007E7B6A"/>
    <w:pPr>
      <w:keepNext/>
      <w:keepLines/>
      <w:suppressAutoHyphens/>
      <w:spacing w:before="360" w:after="60"/>
      <w:ind w:left="2520"/>
      <w:outlineLvl w:val="3"/>
    </w:pPr>
    <w:rPr>
      <w:rFonts w:eastAsiaTheme="majorEastAsia" w:cstheme="majorBidi"/>
      <w:b/>
      <w:iCs/>
      <w:sz w:val="20"/>
    </w:rPr>
  </w:style>
  <w:style w:type="paragraph" w:styleId="Heading5">
    <w:name w:val="heading 5"/>
    <w:aliases w:val="EAB Graphic Subtitle"/>
    <w:basedOn w:val="Normal"/>
    <w:next w:val="EABnpValues"/>
    <w:link w:val="Heading5Char"/>
    <w:uiPriority w:val="10"/>
    <w:qFormat/>
    <w:rsid w:val="007E7B6A"/>
    <w:pPr>
      <w:keepNext/>
      <w:keepLines/>
      <w:suppressAutoHyphens/>
      <w:spacing w:before="60"/>
      <w:ind w:left="2520"/>
      <w:outlineLvl w:val="4"/>
    </w:pPr>
    <w:rPr>
      <w:rFonts w:eastAsiaTheme="majorEastAsia" w:cstheme="majorBidi"/>
      <w:i/>
      <w:color w:val="666E76" w:themeColor="accent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E51C7"/>
    <w:pPr>
      <w:tabs>
        <w:tab w:val="center" w:pos="4680"/>
        <w:tab w:val="right" w:pos="9360"/>
      </w:tabs>
    </w:pPr>
  </w:style>
  <w:style w:type="character" w:customStyle="1" w:styleId="HeaderChar">
    <w:name w:val="Header Char"/>
    <w:basedOn w:val="DefaultParagraphFont"/>
    <w:link w:val="Header"/>
    <w:uiPriority w:val="99"/>
    <w:semiHidden/>
    <w:rsid w:val="00B1112E"/>
  </w:style>
  <w:style w:type="paragraph" w:styleId="Footer">
    <w:name w:val="footer"/>
    <w:basedOn w:val="Normal"/>
    <w:link w:val="FooterChar"/>
    <w:uiPriority w:val="99"/>
    <w:semiHidden/>
    <w:rsid w:val="009E51C7"/>
    <w:pPr>
      <w:tabs>
        <w:tab w:val="center" w:pos="4680"/>
        <w:tab w:val="right" w:pos="9360"/>
      </w:tabs>
    </w:pPr>
  </w:style>
  <w:style w:type="character" w:customStyle="1" w:styleId="FooterChar">
    <w:name w:val="Footer Char"/>
    <w:basedOn w:val="DefaultParagraphFont"/>
    <w:link w:val="Footer"/>
    <w:uiPriority w:val="99"/>
    <w:semiHidden/>
    <w:rsid w:val="00B1112E"/>
  </w:style>
  <w:style w:type="character" w:customStyle="1" w:styleId="Heading1Char">
    <w:name w:val="Heading 1 Char"/>
    <w:aliases w:val="EAB Heading 1 (Linked) Char"/>
    <w:basedOn w:val="DefaultParagraphFont"/>
    <w:link w:val="Heading1"/>
    <w:rsid w:val="007E7B6A"/>
    <w:rPr>
      <w:rFonts w:asciiTheme="majorHAnsi" w:eastAsiaTheme="majorEastAsia" w:hAnsiTheme="majorHAnsi" w:cstheme="majorBidi"/>
      <w:color w:val="004A88" w:themeColor="accent5"/>
      <w:spacing w:val="10"/>
      <w:sz w:val="40"/>
      <w:szCs w:val="32"/>
    </w:rPr>
  </w:style>
  <w:style w:type="paragraph" w:customStyle="1" w:styleId="EABHeading1NotLinked">
    <w:name w:val="EAB Heading 1 (Not Linked)"/>
    <w:basedOn w:val="Heading1"/>
    <w:next w:val="EABHeading2NotLinked"/>
    <w:qFormat/>
    <w:rsid w:val="00B23C36"/>
  </w:style>
  <w:style w:type="character" w:customStyle="1" w:styleId="Heading2Char">
    <w:name w:val="Heading 2 Char"/>
    <w:aliases w:val="EAB Heading 2 (Linked) Char"/>
    <w:basedOn w:val="DefaultParagraphFont"/>
    <w:link w:val="Heading2"/>
    <w:rsid w:val="007E7B6A"/>
    <w:rPr>
      <w:rFonts w:eastAsiaTheme="majorEastAsia" w:cstheme="majorBidi"/>
      <w:sz w:val="26"/>
      <w:szCs w:val="26"/>
    </w:rPr>
  </w:style>
  <w:style w:type="paragraph" w:customStyle="1" w:styleId="EABHeading2NotLinked">
    <w:name w:val="EAB Heading 2 (Not Linked)"/>
    <w:basedOn w:val="Heading2"/>
    <w:next w:val="EABHeading3NotLinked"/>
    <w:qFormat/>
    <w:rsid w:val="00654FCE"/>
    <w:pPr>
      <w:outlineLvl w:val="9"/>
    </w:pPr>
  </w:style>
  <w:style w:type="character" w:customStyle="1" w:styleId="Heading3Char">
    <w:name w:val="Heading 3 Char"/>
    <w:aliases w:val="EAB Heading 3 (Linked) Char"/>
    <w:basedOn w:val="DefaultParagraphFont"/>
    <w:link w:val="Heading3"/>
    <w:rsid w:val="007E7B6A"/>
    <w:rPr>
      <w:rFonts w:eastAsiaTheme="majorEastAsia" w:cstheme="majorBidi"/>
      <w:b/>
      <w:color w:val="A0A4A9" w:themeColor="accent2"/>
      <w:sz w:val="24"/>
      <w:szCs w:val="24"/>
    </w:rPr>
  </w:style>
  <w:style w:type="paragraph" w:customStyle="1" w:styleId="EABHeading3NotLinked">
    <w:name w:val="EAB Heading 3 (Not Linked)"/>
    <w:basedOn w:val="Heading3"/>
    <w:next w:val="Heading4"/>
    <w:qFormat/>
    <w:rsid w:val="00654FCE"/>
  </w:style>
  <w:style w:type="character" w:customStyle="1" w:styleId="Heading4Char">
    <w:name w:val="Heading 4 Char"/>
    <w:aliases w:val="EAB Graphic Title / EAB Heading 4 Char"/>
    <w:basedOn w:val="DefaultParagraphFont"/>
    <w:link w:val="Heading4"/>
    <w:uiPriority w:val="9"/>
    <w:rsid w:val="007E7B6A"/>
    <w:rPr>
      <w:rFonts w:eastAsiaTheme="majorEastAsia" w:cstheme="majorBidi"/>
      <w:b/>
      <w:iCs/>
      <w:sz w:val="20"/>
    </w:rPr>
  </w:style>
  <w:style w:type="character" w:customStyle="1" w:styleId="Heading5Char">
    <w:name w:val="Heading 5 Char"/>
    <w:aliases w:val="EAB Graphic Subtitle Char"/>
    <w:basedOn w:val="DefaultParagraphFont"/>
    <w:link w:val="Heading5"/>
    <w:uiPriority w:val="10"/>
    <w:rsid w:val="007E7B6A"/>
    <w:rPr>
      <w:rFonts w:eastAsiaTheme="majorEastAsia" w:cstheme="majorBidi"/>
      <w:i/>
      <w:color w:val="666E76" w:themeColor="accent3"/>
    </w:rPr>
  </w:style>
  <w:style w:type="paragraph" w:customStyle="1" w:styleId="EABnpValues">
    <w:name w:val="EAB n&amp;p Values"/>
    <w:basedOn w:val="BodyText"/>
    <w:next w:val="BodyText"/>
    <w:uiPriority w:val="11"/>
    <w:qFormat/>
    <w:rsid w:val="007E7B6A"/>
    <w:pPr>
      <w:tabs>
        <w:tab w:val="left" w:pos="2595"/>
      </w:tabs>
      <w:spacing w:before="60" w:after="200"/>
    </w:pPr>
    <w:rPr>
      <w:sz w:val="15"/>
    </w:rPr>
  </w:style>
  <w:style w:type="paragraph" w:styleId="BodyText">
    <w:name w:val="Body Text"/>
    <w:aliases w:val="EAB Section Text"/>
    <w:basedOn w:val="Normal"/>
    <w:link w:val="BodyTextChar"/>
    <w:uiPriority w:val="1"/>
    <w:qFormat/>
    <w:rsid w:val="007E7B6A"/>
    <w:pPr>
      <w:suppressAutoHyphens/>
      <w:spacing w:before="160" w:line="288" w:lineRule="auto"/>
      <w:ind w:left="2520"/>
    </w:pPr>
  </w:style>
  <w:style w:type="character" w:customStyle="1" w:styleId="BodyTextChar">
    <w:name w:val="Body Text Char"/>
    <w:aliases w:val="EAB Section Text Char"/>
    <w:basedOn w:val="DefaultParagraphFont"/>
    <w:link w:val="BodyText"/>
    <w:uiPriority w:val="1"/>
    <w:rsid w:val="007E7B6A"/>
  </w:style>
  <w:style w:type="paragraph" w:styleId="ListBullet">
    <w:name w:val="List Bullet"/>
    <w:aliases w:val="EAB Section Bullets"/>
    <w:basedOn w:val="Normal"/>
    <w:uiPriority w:val="2"/>
    <w:qFormat/>
    <w:rsid w:val="007E7B6A"/>
    <w:pPr>
      <w:numPr>
        <w:numId w:val="1"/>
      </w:numPr>
      <w:suppressAutoHyphens/>
      <w:spacing w:before="100" w:line="288" w:lineRule="auto"/>
    </w:pPr>
  </w:style>
  <w:style w:type="paragraph" w:styleId="ListNumber">
    <w:name w:val="List Number"/>
    <w:aliases w:val="EAB Section Numbers"/>
    <w:basedOn w:val="Normal"/>
    <w:uiPriority w:val="2"/>
    <w:qFormat/>
    <w:rsid w:val="007E7B6A"/>
    <w:pPr>
      <w:numPr>
        <w:numId w:val="2"/>
      </w:numPr>
      <w:suppressAutoHyphens/>
      <w:spacing w:before="100" w:line="288" w:lineRule="auto"/>
    </w:pPr>
  </w:style>
  <w:style w:type="paragraph" w:styleId="TOC2">
    <w:name w:val="toc 2"/>
    <w:aliases w:val="EAB TOC - Level 2"/>
    <w:basedOn w:val="Normal"/>
    <w:autoRedefine/>
    <w:uiPriority w:val="39"/>
    <w:rsid w:val="00CA706A"/>
    <w:pPr>
      <w:tabs>
        <w:tab w:val="right" w:leader="dot" w:pos="10358"/>
      </w:tabs>
      <w:spacing w:before="100"/>
      <w:ind w:left="1440"/>
    </w:pPr>
  </w:style>
  <w:style w:type="paragraph" w:styleId="TOC1">
    <w:name w:val="toc 1"/>
    <w:aliases w:val="EAB TOC - Level 1"/>
    <w:basedOn w:val="Normal"/>
    <w:autoRedefine/>
    <w:uiPriority w:val="39"/>
    <w:rsid w:val="00CA706A"/>
    <w:pPr>
      <w:tabs>
        <w:tab w:val="right" w:leader="dot" w:pos="10358"/>
      </w:tabs>
      <w:spacing w:before="200"/>
      <w:ind w:left="720"/>
    </w:pPr>
    <w:rPr>
      <w:b/>
    </w:rPr>
  </w:style>
  <w:style w:type="paragraph" w:styleId="TOC3">
    <w:name w:val="toc 3"/>
    <w:aliases w:val="EAB TOC - Level 3"/>
    <w:basedOn w:val="Normal"/>
    <w:autoRedefine/>
    <w:uiPriority w:val="39"/>
    <w:rsid w:val="00CA706A"/>
    <w:pPr>
      <w:tabs>
        <w:tab w:val="right" w:leader="dot" w:pos="10358"/>
      </w:tabs>
      <w:spacing w:before="100"/>
      <w:ind w:left="2160"/>
    </w:pPr>
  </w:style>
  <w:style w:type="paragraph" w:styleId="FootnoteText">
    <w:name w:val="footnote text"/>
    <w:aliases w:val="EAB Footnote"/>
    <w:basedOn w:val="Normal"/>
    <w:link w:val="FootnoteTextChar"/>
    <w:uiPriority w:val="29"/>
    <w:rsid w:val="007E7B6A"/>
    <w:pPr>
      <w:numPr>
        <w:numId w:val="4"/>
      </w:numPr>
      <w:suppressAutoHyphens/>
      <w:ind w:left="187" w:right="3168" w:hanging="187"/>
    </w:pPr>
    <w:rPr>
      <w:sz w:val="10"/>
      <w:szCs w:val="10"/>
    </w:rPr>
  </w:style>
  <w:style w:type="paragraph" w:styleId="Caption">
    <w:name w:val="caption"/>
    <w:aliases w:val="EAB Figure Caption"/>
    <w:basedOn w:val="Normal"/>
    <w:next w:val="BodyText"/>
    <w:uiPriority w:val="30"/>
    <w:qFormat/>
    <w:rsid w:val="007E7B6A"/>
    <w:pPr>
      <w:suppressAutoHyphens/>
      <w:spacing w:before="160"/>
      <w:ind w:left="2520"/>
    </w:pPr>
    <w:rPr>
      <w:iCs/>
      <w:sz w:val="12"/>
      <w:szCs w:val="12"/>
    </w:rPr>
  </w:style>
  <w:style w:type="paragraph" w:styleId="TableofFigures">
    <w:name w:val="table of figures"/>
    <w:aliases w:val="EAB Table of Figures"/>
    <w:basedOn w:val="Normal"/>
    <w:next w:val="Normal"/>
    <w:uiPriority w:val="99"/>
    <w:rsid w:val="00B26543"/>
    <w:pPr>
      <w:tabs>
        <w:tab w:val="right" w:leader="dot" w:pos="10354"/>
      </w:tabs>
      <w:spacing w:before="100"/>
      <w:ind w:left="720"/>
    </w:pPr>
  </w:style>
  <w:style w:type="paragraph" w:customStyle="1" w:styleId="EABNormal">
    <w:name w:val="EAB Normal"/>
    <w:uiPriority w:val="99"/>
    <w:qFormat/>
    <w:rsid w:val="0069220C"/>
    <w:pPr>
      <w:suppressAutoHyphens/>
      <w:spacing w:after="0" w:line="240" w:lineRule="auto"/>
    </w:pPr>
  </w:style>
  <w:style w:type="character" w:customStyle="1" w:styleId="FootnoteTextChar">
    <w:name w:val="Footnote Text Char"/>
    <w:aliases w:val="EAB Footnote Char"/>
    <w:basedOn w:val="DefaultParagraphFont"/>
    <w:link w:val="FootnoteText"/>
    <w:uiPriority w:val="29"/>
    <w:rsid w:val="007E7B6A"/>
    <w:rPr>
      <w:sz w:val="10"/>
      <w:szCs w:val="10"/>
    </w:rPr>
  </w:style>
  <w:style w:type="character" w:styleId="FootnoteReference">
    <w:name w:val="footnote reference"/>
    <w:basedOn w:val="DefaultParagraphFont"/>
    <w:uiPriority w:val="99"/>
    <w:semiHidden/>
    <w:rsid w:val="00523343"/>
    <w:rPr>
      <w:vertAlign w:val="superscript"/>
    </w:rPr>
  </w:style>
  <w:style w:type="paragraph" w:customStyle="1" w:styleId="EABGraphicTableText">
    <w:name w:val="EAB Graphic/Table Text"/>
    <w:basedOn w:val="BodyText"/>
    <w:uiPriority w:val="20"/>
    <w:qFormat/>
    <w:rsid w:val="007E7B6A"/>
    <w:pPr>
      <w:spacing w:before="60" w:after="60" w:line="240" w:lineRule="auto"/>
      <w:ind w:left="0"/>
    </w:pPr>
    <w:rPr>
      <w:sz w:val="16"/>
      <w:szCs w:val="16"/>
    </w:rPr>
  </w:style>
  <w:style w:type="character" w:styleId="Hyperlink">
    <w:name w:val="Hyperlink"/>
    <w:aliases w:val="EAB Hyperlink"/>
    <w:basedOn w:val="DefaultParagraphFont"/>
    <w:uiPriority w:val="99"/>
    <w:rsid w:val="00C229DE"/>
    <w:rPr>
      <w:color w:val="0070CD" w:themeColor="hyperlink"/>
      <w:u w:val="single"/>
    </w:rPr>
  </w:style>
  <w:style w:type="paragraph" w:styleId="ListBullet2">
    <w:name w:val="List Bullet 2"/>
    <w:aliases w:val="EAB Graphic/Table Bullets"/>
    <w:basedOn w:val="Normal"/>
    <w:uiPriority w:val="21"/>
    <w:qFormat/>
    <w:rsid w:val="007E7B6A"/>
    <w:pPr>
      <w:numPr>
        <w:numId w:val="7"/>
      </w:numPr>
      <w:suppressAutoHyphens/>
      <w:spacing w:before="60" w:after="60"/>
    </w:pPr>
    <w:rPr>
      <w:sz w:val="16"/>
      <w:szCs w:val="16"/>
    </w:rPr>
  </w:style>
  <w:style w:type="table" w:styleId="TableGrid">
    <w:name w:val="Table Grid"/>
    <w:basedOn w:val="TableNormal"/>
    <w:uiPriority w:val="39"/>
    <w:rsid w:val="00046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ABStandardTable">
    <w:name w:val="EAB Standard Table"/>
    <w:basedOn w:val="TableNormal"/>
    <w:uiPriority w:val="99"/>
    <w:rsid w:val="00860A0B"/>
    <w:pPr>
      <w:spacing w:before="60" w:after="60" w:line="240" w:lineRule="auto"/>
    </w:pPr>
    <w:rPr>
      <w:sz w:val="16"/>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5" w:type="dxa"/>
        <w:right w:w="115" w:type="dxa"/>
      </w:tblCellMar>
    </w:tblPr>
    <w:tblStylePr w:type="firstRow">
      <w:rPr>
        <w:b/>
        <w:color w:val="FFFFFF" w:themeColor="background1"/>
        <w:sz w:val="18"/>
      </w:rPr>
      <w:tblPr/>
      <w:tcPr>
        <w:tcBorders>
          <w:bottom w:val="single" w:sz="18" w:space="0" w:color="FFFFFF" w:themeColor="background1"/>
        </w:tcBorders>
        <w:shd w:val="clear" w:color="auto" w:fill="004A88" w:themeFill="accent5"/>
      </w:tcPr>
    </w:tblStylePr>
    <w:tblStylePr w:type="firstCol">
      <w:rPr>
        <w:b w:val="0"/>
        <w:color w:val="333E48" w:themeColor="text1"/>
      </w:rPr>
    </w:tblStylePr>
    <w:tblStylePr w:type="lastCol">
      <w:rPr>
        <w:b/>
        <w:color w:val="FFFFFF" w:themeColor="background1"/>
      </w:rPr>
      <w:tblPr/>
      <w:tcPr>
        <w:shd w:val="clear" w:color="auto" w:fill="004A88" w:themeFill="accent5"/>
      </w:tcPr>
    </w:tblStylePr>
    <w:tblStylePr w:type="band1Vert">
      <w:tblPr/>
      <w:tcPr>
        <w:shd w:val="clear" w:color="auto" w:fill="CBD0DA"/>
      </w:tcPr>
    </w:tblStylePr>
    <w:tblStylePr w:type="band2Vert">
      <w:tblPr/>
      <w:tcPr>
        <w:shd w:val="clear" w:color="auto" w:fill="E7E9ED"/>
      </w:tcPr>
    </w:tblStylePr>
    <w:tblStylePr w:type="band1Horz">
      <w:tblPr/>
      <w:tcPr>
        <w:shd w:val="clear" w:color="auto" w:fill="CBD0DA"/>
      </w:tcPr>
    </w:tblStylePr>
    <w:tblStylePr w:type="band2Horz">
      <w:tblPr/>
      <w:tcPr>
        <w:shd w:val="clear" w:color="auto" w:fill="E7E9ED"/>
      </w:tcPr>
    </w:tblStylePr>
  </w:style>
  <w:style w:type="table" w:styleId="TableGridLight">
    <w:name w:val="Grid Table Light"/>
    <w:basedOn w:val="TableNormal"/>
    <w:uiPriority w:val="40"/>
    <w:rsid w:val="00452F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verSub-program">
    <w:name w:val="Cover: Sub-program"/>
    <w:basedOn w:val="Normal"/>
    <w:uiPriority w:val="1"/>
    <w:semiHidden/>
    <w:qFormat/>
    <w:rsid w:val="001514C1"/>
    <w:pPr>
      <w:jc w:val="right"/>
    </w:pPr>
    <w:rPr>
      <w:color w:val="666E76" w:themeColor="accent3"/>
    </w:rPr>
  </w:style>
  <w:style w:type="paragraph" w:customStyle="1" w:styleId="EABTableColumnHeader">
    <w:name w:val="EAB Table Column Header"/>
    <w:uiPriority w:val="14"/>
    <w:qFormat/>
    <w:rsid w:val="00860A0B"/>
    <w:pPr>
      <w:spacing w:before="60" w:after="60" w:line="240" w:lineRule="auto"/>
    </w:pPr>
    <w:rPr>
      <w:color w:val="FFFFFF" w:themeColor="background1"/>
      <w:sz w:val="16"/>
      <w:szCs w:val="16"/>
    </w:rPr>
  </w:style>
  <w:style w:type="paragraph" w:customStyle="1" w:styleId="EABTableRowHeader">
    <w:name w:val="EAB Table Row Header"/>
    <w:uiPriority w:val="15"/>
    <w:qFormat/>
    <w:rsid w:val="00860A0B"/>
    <w:pPr>
      <w:spacing w:before="60" w:after="60" w:line="240" w:lineRule="auto"/>
    </w:pPr>
    <w:rPr>
      <w:b/>
      <w:sz w:val="16"/>
      <w:szCs w:val="16"/>
    </w:rPr>
  </w:style>
  <w:style w:type="paragraph" w:styleId="NormalWeb">
    <w:name w:val="Normal (Web)"/>
    <w:basedOn w:val="Normal"/>
    <w:uiPriority w:val="99"/>
    <w:semiHidden/>
    <w:rsid w:val="00962F12"/>
    <w:pPr>
      <w:spacing w:beforeAutospacing="1" w:after="100" w:afterAutospacing="1"/>
    </w:pPr>
    <w:rPr>
      <w:rFonts w:ascii="Times New Roman" w:eastAsiaTheme="minorEastAsia"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494066">
      <w:bodyDiv w:val="1"/>
      <w:marLeft w:val="0"/>
      <w:marRight w:val="0"/>
      <w:marTop w:val="0"/>
      <w:marBottom w:val="0"/>
      <w:divBdr>
        <w:top w:val="none" w:sz="0" w:space="0" w:color="auto"/>
        <w:left w:val="none" w:sz="0" w:space="0" w:color="auto"/>
        <w:bottom w:val="none" w:sz="0" w:space="0" w:color="auto"/>
        <w:right w:val="none" w:sz="0" w:space="0" w:color="auto"/>
      </w:divBdr>
    </w:div>
    <w:div w:id="148466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eab.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public\share\ABC%20Templates%20and%20Resources\EAB%20Template%20Suite\EAB%20Word%20Templates\EAB1%20Primary\EAB1%20Primary%20NoLogo%20111717.dotm" TargetMode="External"/></Relationships>
</file>

<file path=word/theme/theme1.xml><?xml version="1.0" encoding="utf-8"?>
<a:theme xmlns:a="http://schemas.openxmlformats.org/drawingml/2006/main" name="Office Theme">
  <a:themeElements>
    <a:clrScheme name="EAB Color Palette (2017)">
      <a:dk1>
        <a:srgbClr val="333E48"/>
      </a:dk1>
      <a:lt1>
        <a:srgbClr val="FFFFFF"/>
      </a:lt1>
      <a:dk2>
        <a:srgbClr val="F28B00"/>
      </a:dk2>
      <a:lt2>
        <a:srgbClr val="D6D8DA"/>
      </a:lt2>
      <a:accent1>
        <a:srgbClr val="C4C7CA"/>
      </a:accent1>
      <a:accent2>
        <a:srgbClr val="A0A4A9"/>
      </a:accent2>
      <a:accent3>
        <a:srgbClr val="666E76"/>
      </a:accent3>
      <a:accent4>
        <a:srgbClr val="333E48"/>
      </a:accent4>
      <a:accent5>
        <a:srgbClr val="004A88"/>
      </a:accent5>
      <a:accent6>
        <a:srgbClr val="0070CD"/>
      </a:accent6>
      <a:hlink>
        <a:srgbClr val="0070CD"/>
      </a:hlink>
      <a:folHlink>
        <a:srgbClr val="A0A4A9"/>
      </a:folHlink>
    </a:clrScheme>
    <a:fontScheme name="EAB Theme Font">
      <a:majorFont>
        <a:latin typeface="Rockwell"/>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3"/>
        </a:solidFill>
        <a:ln>
          <a:solidFill>
            <a:schemeClr val="accent3"/>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3"/>
          </a:solidFill>
        </a:ln>
      </a:spPr>
      <a:bodyPr/>
      <a:lstStyle/>
      <a:style>
        <a:lnRef idx="1">
          <a:schemeClr val="accent1"/>
        </a:lnRef>
        <a:fillRef idx="0">
          <a:schemeClr val="accent1"/>
        </a:fillRef>
        <a:effectRef idx="0">
          <a:schemeClr val="accent1"/>
        </a:effectRef>
        <a:fontRef idx="minor">
          <a:schemeClr val="tx1"/>
        </a:fontRef>
      </a:style>
    </a:lnDef>
    <a:txDef>
      <a:spPr>
        <a:noFill/>
        <a:ln w="6350">
          <a:solidFill>
            <a:schemeClr val="bg1"/>
          </a:solidFill>
          <a:miter lim="800000"/>
        </a:ln>
        <a:effectLst/>
      </a:spPr>
      <a:bodyPr rot="0" spcFirstLastPara="0" vertOverflow="overflow" horzOverflow="overflow" vert="horz" wrap="square" lIns="0" tIns="0" rIns="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custClrLst>
    <a:custClr name="Dark Background">
      <a:srgbClr val="003D70"/>
    </a:custClr>
    <a:custClr name="Red">
      <a:srgbClr val="CF102D"/>
    </a:custClr>
    <a:custClr name="Yellow">
      <a:srgbClr val="F6D900"/>
    </a:custClr>
    <a:custClr name="Green">
      <a:srgbClr val="7FCB3B"/>
    </a:custClr>
    <a:custClr name="Purple">
      <a:srgbClr val="8B4BB3"/>
    </a:custClr>
    <a:custClr name="Light Blue">
      <a:srgbClr val="23B1F1"/>
    </a:custClr>
    <a:custClr name="Teal">
      <a:srgbClr val="35BDCB"/>
    </a:custClr>
    <a:custClr name="Not Used">
      <a:srgbClr val="FFFFFF"/>
    </a:custClr>
    <a:custClr name="Not Used">
      <a:srgbClr val="FFFFFF"/>
    </a:custClr>
    <a:custClr name="Not Used">
      <a:srgbClr val="FFFFFF"/>
    </a:custClr>
    <a:custClr name="Not Used">
      <a:srgbClr val="FFFFFF"/>
    </a:custClr>
    <a:custClr name="Red Tint">
      <a:srgbClr val="F47A74"/>
    </a:custClr>
    <a:custClr name="Yellow Tint">
      <a:srgbClr val="FFEE6D"/>
    </a:custClr>
    <a:custClr name="Green Tint">
      <a:srgbClr val="B0DF85"/>
    </a:custClr>
    <a:custClr name="Purple Tint">
      <a:srgbClr val="BD98D4"/>
    </a:custClr>
    <a:custClr name="Light Blue Tint">
      <a:srgbClr val="92D8F8"/>
    </a:custClr>
    <a:custClr name="Teal Tint">
      <a:srgbClr val="91DBE3"/>
    </a:custClr>
    <a:custClr name="Not Used">
      <a:srgbClr val="FFFFFF"/>
    </a:custClr>
    <a:custClr name="Not Used">
      <a:srgbClr val="FFFFFF"/>
    </a:custClr>
    <a:custClr name="Not Used">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FB49747-AB31-4790-8E92-F3F6F7A52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EAB1 Primary NoLogo 111717</Template>
  <TotalTime>0</TotalTime>
  <Pages>3</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2017-12-11T14:01:00Z</dcterms:created>
  <dcterms:modified xsi:type="dcterms:W3CDTF">2017-12-11T14:28:00Z</dcterms:modified>
</cp:coreProperties>
</file>