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8EAA" w14:textId="7E857DC6" w:rsidR="00207B46" w:rsidRDefault="003F2B35" w:rsidP="00207B46">
      <w:pPr>
        <w:pStyle w:val="Heading1"/>
      </w:pPr>
      <w:r>
        <w:t>U</w:t>
      </w:r>
      <w:r w:rsidR="0064466B">
        <w:t xml:space="preserve">niversity of </w:t>
      </w:r>
      <w:r w:rsidR="00D752F8">
        <w:t>Minnesota</w:t>
      </w:r>
      <w:r w:rsidR="00296E9E">
        <w:t xml:space="preserve"> Finance</w:t>
      </w:r>
      <w:r w:rsidR="00D752F8">
        <w:t xml:space="preserve"> Academy</w:t>
      </w:r>
      <w:r w:rsidR="0064466B">
        <w:t xml:space="preserve"> </w:t>
      </w:r>
      <w:r w:rsidR="009534EF">
        <w:t>Training</w:t>
      </w:r>
    </w:p>
    <w:p w14:paraId="7A6D02EB" w14:textId="3FC6E12C" w:rsidR="00207B46" w:rsidRDefault="00D36698" w:rsidP="00207B46">
      <w:pPr>
        <w:pStyle w:val="EABHeading2NotLinked"/>
      </w:pPr>
      <w:r>
        <w:t xml:space="preserve">October 6, 2017 </w:t>
      </w:r>
      <w:r>
        <w:t xml:space="preserve">and </w:t>
      </w:r>
      <w:r w:rsidR="0032541C">
        <w:t xml:space="preserve">November 1-2, 2018 </w:t>
      </w:r>
      <w:r w:rsidR="003F2B35">
        <w:t>Curricul</w:t>
      </w:r>
      <w:r w:rsidR="0032541C">
        <w:t>a</w:t>
      </w:r>
    </w:p>
    <w:p w14:paraId="024F7D12" w14:textId="77777777" w:rsidR="00750B29" w:rsidRDefault="00750B29" w:rsidP="00750B29">
      <w:pPr>
        <w:pStyle w:val="EABHeading3NotLinked"/>
      </w:pPr>
      <w:r>
        <w:t>Finance Academy Agenda</w:t>
      </w:r>
    </w:p>
    <w:p w14:paraId="19CA932F" w14:textId="27E480E1" w:rsidR="0032541C" w:rsidRDefault="0032541C" w:rsidP="00F26107">
      <w:pPr>
        <w:pStyle w:val="Heading4"/>
      </w:pPr>
      <w:r>
        <w:t>October 6, 2017</w:t>
      </w:r>
    </w:p>
    <w:p w14:paraId="2C4415EE" w14:textId="5AB5E984" w:rsidR="0032541C" w:rsidRDefault="0032541C" w:rsidP="0032541C">
      <w:pPr>
        <w:pStyle w:val="BodyText"/>
      </w:pPr>
      <w:r>
        <w:t>8:30</w:t>
      </w:r>
      <w:r>
        <w:tab/>
      </w:r>
      <w:r>
        <w:tab/>
        <w:t>President's Welcome/Comments</w:t>
      </w:r>
    </w:p>
    <w:p w14:paraId="0DD15AD0" w14:textId="0FCC4512" w:rsidR="0032541C" w:rsidRDefault="0032541C" w:rsidP="0032541C">
      <w:pPr>
        <w:pStyle w:val="BodyText"/>
      </w:pPr>
      <w:r>
        <w:t>8:45</w:t>
      </w:r>
      <w:r>
        <w:tab/>
      </w:r>
      <w:r>
        <w:tab/>
        <w:t>Budget Overview and Context</w:t>
      </w:r>
    </w:p>
    <w:p w14:paraId="06978FFF" w14:textId="2A828E65" w:rsidR="0032541C" w:rsidRDefault="0032541C" w:rsidP="0032541C">
      <w:pPr>
        <w:pStyle w:val="BodyText"/>
      </w:pPr>
      <w:r>
        <w:t>9:15</w:t>
      </w:r>
      <w:r>
        <w:tab/>
      </w:r>
      <w:r>
        <w:tab/>
        <w:t>The Budget Model</w:t>
      </w:r>
    </w:p>
    <w:p w14:paraId="4B940D97" w14:textId="6D9D7DC6" w:rsidR="0032541C" w:rsidRDefault="0032541C" w:rsidP="0032541C">
      <w:pPr>
        <w:pStyle w:val="BodyText"/>
      </w:pPr>
      <w:r>
        <w:t>10:15</w:t>
      </w:r>
      <w:r>
        <w:tab/>
      </w:r>
      <w:r>
        <w:tab/>
        <w:t>BREAK</w:t>
      </w:r>
    </w:p>
    <w:p w14:paraId="09DA301A" w14:textId="3C593CE5" w:rsidR="0032541C" w:rsidRDefault="0032541C" w:rsidP="0032541C">
      <w:pPr>
        <w:pStyle w:val="BodyText"/>
      </w:pPr>
      <w:r>
        <w:t>10:30</w:t>
      </w:r>
      <w:r>
        <w:tab/>
      </w:r>
      <w:r>
        <w:tab/>
      </w:r>
      <w:r w:rsidR="009D3AF0">
        <w:t xml:space="preserve">The </w:t>
      </w:r>
      <w:r>
        <w:t xml:space="preserve">Budget Process: Framework </w:t>
      </w:r>
      <w:r w:rsidR="00EC2AB5">
        <w:t>and</w:t>
      </w:r>
      <w:r>
        <w:t xml:space="preserve"> Decision Making</w:t>
      </w:r>
      <w:r>
        <w:tab/>
      </w:r>
    </w:p>
    <w:p w14:paraId="12740B8C" w14:textId="225E11C7" w:rsidR="0032541C" w:rsidRDefault="0032541C" w:rsidP="0032541C">
      <w:pPr>
        <w:pStyle w:val="BodyText"/>
      </w:pPr>
      <w:r>
        <w:t>11:30</w:t>
      </w:r>
      <w:r>
        <w:tab/>
      </w:r>
      <w:r>
        <w:tab/>
        <w:t xml:space="preserve">Case Study/Small group discussion </w:t>
      </w:r>
    </w:p>
    <w:p w14:paraId="553A4458" w14:textId="29436FF6" w:rsidR="0032541C" w:rsidRDefault="0032541C" w:rsidP="0032541C">
      <w:pPr>
        <w:pStyle w:val="BodyText"/>
      </w:pPr>
      <w:r>
        <w:t>12:00</w:t>
      </w:r>
      <w:r>
        <w:tab/>
      </w:r>
      <w:r>
        <w:tab/>
        <w:t>LUNCH</w:t>
      </w:r>
    </w:p>
    <w:p w14:paraId="7C23FD48" w14:textId="291A4EC2" w:rsidR="0032541C" w:rsidRDefault="0032541C" w:rsidP="0032541C">
      <w:pPr>
        <w:pStyle w:val="BodyText"/>
      </w:pPr>
      <w:r>
        <w:t>12:45</w:t>
      </w:r>
      <w:r>
        <w:tab/>
      </w:r>
      <w:r>
        <w:tab/>
        <w:t xml:space="preserve">Financing Space, Facilities </w:t>
      </w:r>
      <w:r w:rsidR="00EC2AB5">
        <w:t>and</w:t>
      </w:r>
      <w:r>
        <w:t xml:space="preserve"> Capital Project</w:t>
      </w:r>
    </w:p>
    <w:p w14:paraId="0BB8AD38" w14:textId="5CEE6807" w:rsidR="0032541C" w:rsidRDefault="0032541C" w:rsidP="0032541C">
      <w:pPr>
        <w:pStyle w:val="BodyText"/>
      </w:pPr>
      <w:r>
        <w:t>1:30</w:t>
      </w:r>
      <w:r>
        <w:tab/>
      </w:r>
      <w:r>
        <w:tab/>
        <w:t>Internal Auditing at the U</w:t>
      </w:r>
      <w:r w:rsidR="009D3AF0">
        <w:t>niversity of Minnesota</w:t>
      </w:r>
    </w:p>
    <w:p w14:paraId="315D40F2" w14:textId="4119C41D" w:rsidR="0032541C" w:rsidRDefault="0032541C" w:rsidP="0032541C">
      <w:pPr>
        <w:pStyle w:val="BodyText"/>
      </w:pPr>
      <w:r>
        <w:t>2:15</w:t>
      </w:r>
      <w:r>
        <w:tab/>
      </w:r>
      <w:r>
        <w:tab/>
        <w:t>BREAK</w:t>
      </w:r>
    </w:p>
    <w:p w14:paraId="4BDADEA1" w14:textId="3B0F98EA" w:rsidR="00A22616" w:rsidRDefault="0032541C" w:rsidP="0032541C">
      <w:pPr>
        <w:pStyle w:val="BodyText"/>
      </w:pPr>
      <w:r>
        <w:t>2:25</w:t>
      </w:r>
      <w:r>
        <w:tab/>
      </w:r>
      <w:r>
        <w:tab/>
        <w:t xml:space="preserve">Revenue </w:t>
      </w:r>
      <w:r w:rsidR="00F8733F">
        <w:t>S</w:t>
      </w:r>
      <w:r>
        <w:t>ources:</w:t>
      </w:r>
    </w:p>
    <w:p w14:paraId="1F9014C1" w14:textId="0235250C" w:rsidR="0032541C" w:rsidRDefault="0032541C" w:rsidP="00CD4D85">
      <w:pPr>
        <w:pStyle w:val="ListBullet"/>
        <w:ind w:left="2520"/>
      </w:pPr>
      <w:r>
        <w:t>Development</w:t>
      </w:r>
    </w:p>
    <w:p w14:paraId="7578FA37" w14:textId="1A765F41" w:rsidR="0032541C" w:rsidRDefault="0032541C" w:rsidP="00CD4D85">
      <w:pPr>
        <w:pStyle w:val="ListBullet"/>
        <w:ind w:left="2520"/>
      </w:pPr>
      <w:r>
        <w:t>Sponsored/ICR/Other</w:t>
      </w:r>
    </w:p>
    <w:p w14:paraId="3D240279" w14:textId="5C533140" w:rsidR="0032541C" w:rsidRDefault="0032541C" w:rsidP="00CD4D85">
      <w:pPr>
        <w:pStyle w:val="ListBullet"/>
        <w:ind w:left="2520"/>
      </w:pPr>
      <w:r>
        <w:t>Tuition and Financial Aid</w:t>
      </w:r>
      <w:r>
        <w:tab/>
      </w:r>
    </w:p>
    <w:p w14:paraId="20D342C9" w14:textId="6AF8F0BD" w:rsidR="0032541C" w:rsidRDefault="0032541C" w:rsidP="0032541C">
      <w:pPr>
        <w:pStyle w:val="BodyText"/>
      </w:pPr>
      <w:r>
        <w:t>3:10</w:t>
      </w:r>
      <w:r>
        <w:tab/>
      </w:r>
      <w:r>
        <w:tab/>
        <w:t>Round Table/Small group discussion</w:t>
      </w:r>
    </w:p>
    <w:p w14:paraId="55AE798B" w14:textId="6C689CEE" w:rsidR="0032541C" w:rsidRDefault="0032541C" w:rsidP="0032541C">
      <w:pPr>
        <w:pStyle w:val="BodyText"/>
      </w:pPr>
      <w:r>
        <w:t>3:40</w:t>
      </w:r>
      <w:r>
        <w:tab/>
      </w:r>
      <w:r>
        <w:tab/>
        <w:t xml:space="preserve">Financial Reporting </w:t>
      </w:r>
      <w:r w:rsidR="00EC2AB5">
        <w:t>and</w:t>
      </w:r>
      <w:r>
        <w:t xml:space="preserve"> Institutional Analysis </w:t>
      </w:r>
    </w:p>
    <w:p w14:paraId="0F5B4B66" w14:textId="59EC3BDC" w:rsidR="0032541C" w:rsidRPr="0032541C" w:rsidRDefault="0032541C" w:rsidP="0032541C">
      <w:pPr>
        <w:pStyle w:val="BodyText"/>
      </w:pPr>
      <w:r>
        <w:t>4:10</w:t>
      </w:r>
      <w:r w:rsidRPr="0032541C">
        <w:rPr>
          <w:rStyle w:val="BodyTextChar"/>
        </w:rPr>
        <w:tab/>
      </w:r>
      <w:r w:rsidRPr="0032541C">
        <w:rPr>
          <w:rStyle w:val="BodyTextChar"/>
        </w:rPr>
        <w:tab/>
        <w:t xml:space="preserve">Closing Remarks </w:t>
      </w:r>
      <w:r w:rsidR="00EC2AB5">
        <w:rPr>
          <w:rStyle w:val="BodyTextChar"/>
        </w:rPr>
        <w:t>and</w:t>
      </w:r>
      <w:r w:rsidRPr="0032541C">
        <w:rPr>
          <w:rStyle w:val="BodyTextChar"/>
        </w:rPr>
        <w:t xml:space="preserve"> Evaluation</w:t>
      </w:r>
    </w:p>
    <w:p w14:paraId="1858F610" w14:textId="77777777" w:rsidR="00F26107" w:rsidRDefault="00F26107">
      <w:pPr>
        <w:spacing w:after="160" w:line="259" w:lineRule="auto"/>
        <w:rPr>
          <w:rFonts w:eastAsiaTheme="majorEastAsia" w:cstheme="majorBidi"/>
          <w:b/>
          <w:color w:val="A0A4A9" w:themeColor="accent2"/>
          <w:sz w:val="24"/>
          <w:szCs w:val="24"/>
        </w:rPr>
      </w:pPr>
      <w:bookmarkStart w:id="0" w:name="_Toc496793439"/>
      <w:r>
        <w:br w:type="page"/>
      </w:r>
    </w:p>
    <w:p w14:paraId="6ECAA86B" w14:textId="7E1575E6" w:rsidR="00860A0B" w:rsidRDefault="009534EF" w:rsidP="009534EF">
      <w:pPr>
        <w:pStyle w:val="EABHeading3NotLinked"/>
      </w:pPr>
      <w:r>
        <w:lastRenderedPageBreak/>
        <w:t xml:space="preserve">Finance </w:t>
      </w:r>
      <w:r w:rsidR="009B58F1">
        <w:t>Academy Sessions</w:t>
      </w:r>
      <w:bookmarkEnd w:id="0"/>
    </w:p>
    <w:p w14:paraId="339B5F63" w14:textId="1E4EFB91" w:rsidR="003E729F" w:rsidRPr="003E729F" w:rsidRDefault="003E729F" w:rsidP="003E729F">
      <w:pPr>
        <w:pStyle w:val="EABGraphicTableText"/>
      </w:pPr>
    </w:p>
    <w:tbl>
      <w:tblPr>
        <w:tblStyle w:val="EABStandardTable"/>
        <w:tblW w:w="9638" w:type="dxa"/>
        <w:tblInd w:w="720" w:type="dxa"/>
        <w:tblLook w:val="04A0" w:firstRow="1" w:lastRow="0" w:firstColumn="1" w:lastColumn="0" w:noHBand="0" w:noVBand="1"/>
      </w:tblPr>
      <w:tblGrid>
        <w:gridCol w:w="2007"/>
        <w:gridCol w:w="3298"/>
        <w:gridCol w:w="4333"/>
      </w:tblGrid>
      <w:tr w:rsidR="00652E8D" w14:paraId="08F291E7" w14:textId="0D748D53" w:rsidTr="00F84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0EEA9B93" w14:textId="3DD7748A" w:rsidR="00652E8D" w:rsidRDefault="00652E8D" w:rsidP="002C0142">
            <w:pPr>
              <w:pStyle w:val="EABTableColumnHeader"/>
            </w:pPr>
            <w:r>
              <w:t>Course Title</w:t>
            </w:r>
          </w:p>
        </w:tc>
        <w:tc>
          <w:tcPr>
            <w:tcW w:w="3298" w:type="dxa"/>
          </w:tcPr>
          <w:p w14:paraId="595F1497" w14:textId="2A6928B2" w:rsidR="00652E8D" w:rsidRDefault="00652E8D" w:rsidP="002C0142">
            <w:pPr>
              <w:pStyle w:val="EABTableColum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Instructor</w:t>
            </w:r>
            <w:r w:rsidR="00FF1DEC">
              <w:t>s</w:t>
            </w:r>
          </w:p>
        </w:tc>
        <w:tc>
          <w:tcPr>
            <w:tcW w:w="4333" w:type="dxa"/>
          </w:tcPr>
          <w:p w14:paraId="4B5E550F" w14:textId="67B40B48" w:rsidR="00652E8D" w:rsidRDefault="00652E8D" w:rsidP="002C0142">
            <w:pPr>
              <w:pStyle w:val="EABTableColum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652E8D" w14:paraId="5545A300" w14:textId="7CF20B38" w:rsidTr="00F84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5CD401FD" w14:textId="2BEF2C99" w:rsidR="00652E8D" w:rsidRPr="00237C91" w:rsidRDefault="00652E8D" w:rsidP="007C4B54">
            <w:pPr>
              <w:pStyle w:val="EABTableRowHeader"/>
            </w:pPr>
            <w:r w:rsidRPr="00237C91">
              <w:rPr>
                <w:bCs/>
              </w:rPr>
              <w:t>University of Minnesota Budget Overview and Context</w:t>
            </w:r>
          </w:p>
        </w:tc>
        <w:tc>
          <w:tcPr>
            <w:tcW w:w="3298" w:type="dxa"/>
          </w:tcPr>
          <w:p w14:paraId="514C0A0F" w14:textId="77777777" w:rsidR="0035049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Senior Vice President for Finance and Operations</w:t>
            </w:r>
          </w:p>
          <w:p w14:paraId="4C5D3428" w14:textId="4D550274" w:rsidR="00652E8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</w:tc>
        <w:tc>
          <w:tcPr>
            <w:tcW w:w="4333" w:type="dxa"/>
          </w:tcPr>
          <w:p w14:paraId="6CA55D53" w14:textId="7C542BE2" w:rsidR="00652E8D" w:rsidRPr="00237C91" w:rsidRDefault="00237C91" w:rsidP="00237C91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  <w:r>
              <w:rPr>
                <w:color w:val="333E48" w:themeColor="text1"/>
              </w:rPr>
              <w:t>Overview of u</w:t>
            </w:r>
            <w:r w:rsidRPr="00237C91">
              <w:rPr>
                <w:color w:val="333E48" w:themeColor="text1"/>
              </w:rPr>
              <w:t xml:space="preserve">niversity </w:t>
            </w:r>
            <w:r>
              <w:rPr>
                <w:color w:val="333E48" w:themeColor="text1"/>
              </w:rPr>
              <w:t>r</w:t>
            </w:r>
            <w:r w:rsidRPr="00237C91">
              <w:rPr>
                <w:color w:val="333E48" w:themeColor="text1"/>
              </w:rPr>
              <w:t>evenues</w:t>
            </w:r>
            <w:r>
              <w:rPr>
                <w:color w:val="333E48" w:themeColor="text1"/>
              </w:rPr>
              <w:t xml:space="preserve"> and expenditures, national and state trends for educational appropriations, and tuition trends</w:t>
            </w:r>
          </w:p>
        </w:tc>
      </w:tr>
      <w:tr w:rsidR="00652E8D" w14:paraId="6FE4C5EA" w14:textId="1EFA2E45" w:rsidTr="00F84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6B8B103D" w14:textId="0C75A7D5" w:rsidR="00652E8D" w:rsidRPr="00237C91" w:rsidRDefault="00652E8D" w:rsidP="00FB0443">
            <w:pPr>
              <w:pStyle w:val="EABTableRowHeader"/>
            </w:pPr>
            <w:r w:rsidRPr="00237C91">
              <w:t>The Budget Model</w:t>
            </w:r>
          </w:p>
        </w:tc>
        <w:tc>
          <w:tcPr>
            <w:tcW w:w="3298" w:type="dxa"/>
          </w:tcPr>
          <w:p w14:paraId="44947461" w14:textId="77777777" w:rsidR="0035049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  <w:p w14:paraId="50FADAD0" w14:textId="3A9A17EB" w:rsidR="00652E8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Senior Budget Analyst</w:t>
            </w:r>
          </w:p>
        </w:tc>
        <w:tc>
          <w:tcPr>
            <w:tcW w:w="4333" w:type="dxa"/>
          </w:tcPr>
          <w:p w14:paraId="7ECDBCF1" w14:textId="13638DF5" w:rsidR="00652E8D" w:rsidRPr="00237C91" w:rsidRDefault="00F84252" w:rsidP="00FB0443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Development of the university’s budget model, overview of formula and cost pools</w:t>
            </w:r>
          </w:p>
        </w:tc>
      </w:tr>
      <w:tr w:rsidR="00652E8D" w14:paraId="0F9F1634" w14:textId="35D66C60" w:rsidTr="0075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540EB9BD" w14:textId="6323104B" w:rsidR="00652E8D" w:rsidRPr="00237C91" w:rsidRDefault="00652E8D" w:rsidP="00FB0443">
            <w:pPr>
              <w:pStyle w:val="EABTableRowHeader"/>
            </w:pPr>
            <w:r w:rsidRPr="00237C91">
              <w:rPr>
                <w:bCs/>
              </w:rPr>
              <w:t>The Budget Process:</w:t>
            </w:r>
            <w:r w:rsidRPr="00237C91">
              <w:rPr>
                <w:bCs/>
              </w:rPr>
              <w:br/>
              <w:t xml:space="preserve">Framework </w:t>
            </w:r>
            <w:r w:rsidR="00EC2AB5">
              <w:rPr>
                <w:bCs/>
              </w:rPr>
              <w:t>and</w:t>
            </w:r>
            <w:r w:rsidRPr="00237C91">
              <w:rPr>
                <w:bCs/>
              </w:rPr>
              <w:t xml:space="preserve"> Decision Making</w:t>
            </w:r>
          </w:p>
        </w:tc>
        <w:tc>
          <w:tcPr>
            <w:tcW w:w="3298" w:type="dxa"/>
          </w:tcPr>
          <w:p w14:paraId="59461401" w14:textId="77777777" w:rsidR="0035049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  <w:p w14:paraId="7A094572" w14:textId="419DAEC2" w:rsidR="00652E8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Senior Budget Analyst</w:t>
            </w:r>
          </w:p>
        </w:tc>
        <w:tc>
          <w:tcPr>
            <w:tcW w:w="4333" w:type="dxa"/>
          </w:tcPr>
          <w:p w14:paraId="7E087E68" w14:textId="20BF3589" w:rsidR="00652E8D" w:rsidRPr="00237C91" w:rsidRDefault="00F84252" w:rsidP="009B58F1">
            <w:pPr>
              <w:tabs>
                <w:tab w:val="left" w:pos="11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budget development (e.g., participants, timeline), considerations and framework for developing the budget, and overview of budget reallocations and structural imbalances</w:t>
            </w:r>
          </w:p>
        </w:tc>
      </w:tr>
      <w:tr w:rsidR="00652E8D" w14:paraId="26251475" w14:textId="26E64C53" w:rsidTr="00F84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29E4617E" w14:textId="7F1555DB" w:rsidR="00652E8D" w:rsidRPr="00237C91" w:rsidRDefault="00652E8D" w:rsidP="00FB0443">
            <w:pPr>
              <w:pStyle w:val="EABTableRowHeader"/>
            </w:pPr>
            <w:r w:rsidRPr="00237C91">
              <w:t xml:space="preserve">Financing Space, Facilities </w:t>
            </w:r>
            <w:r w:rsidR="00EC2AB5">
              <w:t>and</w:t>
            </w:r>
            <w:r w:rsidRPr="00237C91">
              <w:t xml:space="preserve"> Capital Projects</w:t>
            </w:r>
          </w:p>
        </w:tc>
        <w:tc>
          <w:tcPr>
            <w:tcW w:w="3298" w:type="dxa"/>
          </w:tcPr>
          <w:p w14:paraId="4BA3093E" w14:textId="77777777" w:rsidR="0035049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Associate Vice President/Assistant Chief Financial Officer</w:t>
            </w:r>
          </w:p>
          <w:p w14:paraId="063E600B" w14:textId="48A66C36" w:rsidR="00652E8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Assistant Vice President/CFO, University Services</w:t>
            </w:r>
          </w:p>
        </w:tc>
        <w:tc>
          <w:tcPr>
            <w:tcW w:w="4333" w:type="dxa"/>
          </w:tcPr>
          <w:p w14:paraId="6C0ADF65" w14:textId="3610E487" w:rsidR="00652E8D" w:rsidRPr="00AD39F9" w:rsidRDefault="00AD39F9" w:rsidP="00AD39F9">
            <w:pPr>
              <w:pStyle w:val="EABTableColumnHead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E48" w:themeColor="text1"/>
              </w:rPr>
            </w:pPr>
            <w:r w:rsidRPr="00AD39F9">
              <w:rPr>
                <w:color w:val="333E48" w:themeColor="text1"/>
              </w:rPr>
              <w:t xml:space="preserve">Overview </w:t>
            </w:r>
            <w:r>
              <w:rPr>
                <w:color w:val="333E48" w:themeColor="text1"/>
              </w:rPr>
              <w:t xml:space="preserve">of </w:t>
            </w:r>
            <w:r w:rsidRPr="00AD39F9">
              <w:rPr>
                <w:color w:val="333E48" w:themeColor="text1"/>
              </w:rPr>
              <w:t xml:space="preserve">capital planning process, </w:t>
            </w:r>
            <w:r w:rsidR="00F84252" w:rsidRPr="00AD39F9">
              <w:rPr>
                <w:color w:val="333E48" w:themeColor="text1"/>
              </w:rPr>
              <w:t>costs associated with</w:t>
            </w:r>
            <w:r>
              <w:rPr>
                <w:color w:val="333E48" w:themeColor="text1"/>
              </w:rPr>
              <w:t xml:space="preserve"> maintaining</w:t>
            </w:r>
            <w:r w:rsidR="00F84252" w:rsidRPr="00AD39F9">
              <w:rPr>
                <w:color w:val="333E48" w:themeColor="text1"/>
              </w:rPr>
              <w:t xml:space="preserve"> the full lifecycle of a building</w:t>
            </w:r>
            <w:r w:rsidRPr="00AD39F9">
              <w:rPr>
                <w:color w:val="333E48" w:themeColor="text1"/>
              </w:rPr>
              <w:t>, f</w:t>
            </w:r>
            <w:r w:rsidR="00F84252" w:rsidRPr="00AD39F9">
              <w:rPr>
                <w:color w:val="333E48" w:themeColor="text1"/>
              </w:rPr>
              <w:t>unding sources used for capital project</w:t>
            </w:r>
            <w:r w:rsidRPr="00AD39F9">
              <w:rPr>
                <w:color w:val="333E48" w:themeColor="text1"/>
              </w:rPr>
              <w:t>s</w:t>
            </w:r>
            <w:r>
              <w:rPr>
                <w:color w:val="333E48" w:themeColor="text1"/>
              </w:rPr>
              <w:t>, and the u</w:t>
            </w:r>
            <w:r w:rsidR="00F84252" w:rsidRPr="00AD39F9">
              <w:rPr>
                <w:color w:val="333E48" w:themeColor="text1"/>
              </w:rPr>
              <w:t>niversity’s facilit</w:t>
            </w:r>
            <w:r>
              <w:rPr>
                <w:color w:val="333E48" w:themeColor="text1"/>
              </w:rPr>
              <w:t>ies</w:t>
            </w:r>
            <w:r w:rsidR="00F84252" w:rsidRPr="00AD39F9">
              <w:rPr>
                <w:color w:val="333E48" w:themeColor="text1"/>
              </w:rPr>
              <w:t xml:space="preserve"> portfolio and deferred </w:t>
            </w:r>
            <w:r>
              <w:rPr>
                <w:color w:val="333E48" w:themeColor="text1"/>
              </w:rPr>
              <w:t>maintenance</w:t>
            </w:r>
            <w:r w:rsidR="00F84252" w:rsidRPr="00AD39F9">
              <w:rPr>
                <w:color w:val="333E48" w:themeColor="text1"/>
              </w:rPr>
              <w:t xml:space="preserve"> challenge</w:t>
            </w:r>
          </w:p>
        </w:tc>
      </w:tr>
      <w:tr w:rsidR="00652E8D" w14:paraId="2B696B3F" w14:textId="78291E53" w:rsidTr="00F84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115073C4" w14:textId="173CD187" w:rsidR="00652E8D" w:rsidRPr="00237C91" w:rsidRDefault="00652E8D" w:rsidP="009534EF">
            <w:pPr>
              <w:pStyle w:val="EABTableRowHeader"/>
            </w:pPr>
            <w:r w:rsidRPr="00237C91">
              <w:rPr>
                <w:bCs/>
              </w:rPr>
              <w:t xml:space="preserve">Internal Auditing at the </w:t>
            </w:r>
            <w:r w:rsidRPr="00237C91">
              <w:rPr>
                <w:bCs/>
              </w:rPr>
              <w:br/>
              <w:t>University of Minnesota</w:t>
            </w:r>
          </w:p>
        </w:tc>
        <w:tc>
          <w:tcPr>
            <w:tcW w:w="3298" w:type="dxa"/>
          </w:tcPr>
          <w:p w14:paraId="7294B6A5" w14:textId="77777777" w:rsidR="0035049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Chief Auditor</w:t>
            </w:r>
          </w:p>
          <w:p w14:paraId="04CA7BC1" w14:textId="74B8DA1E" w:rsidR="00652E8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Audit Manager</w:t>
            </w:r>
          </w:p>
        </w:tc>
        <w:tc>
          <w:tcPr>
            <w:tcW w:w="4333" w:type="dxa"/>
          </w:tcPr>
          <w:p w14:paraId="5C7D4113" w14:textId="2AEECF96" w:rsidR="00652E8D" w:rsidRPr="00237C91" w:rsidRDefault="00750B29" w:rsidP="00F95182">
            <w:pPr>
              <w:pStyle w:val="EABGraphi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audit process, development of annual audit plan, and common issues in conducting internal audits</w:t>
            </w:r>
          </w:p>
        </w:tc>
      </w:tr>
      <w:tr w:rsidR="00652E8D" w14:paraId="0B247749" w14:textId="4C365789" w:rsidTr="00F84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06BFF636" w14:textId="4D6B82FC" w:rsidR="00652E8D" w:rsidRPr="00237C91" w:rsidRDefault="009D3AF0" w:rsidP="009534EF">
            <w:pPr>
              <w:pStyle w:val="EABTableRowHeader"/>
            </w:pPr>
            <w:r w:rsidRPr="00237C91">
              <w:t>Sponsored</w:t>
            </w:r>
            <w:r w:rsidR="00652E8D" w:rsidRPr="00237C91">
              <w:t xml:space="preserve"> Research</w:t>
            </w:r>
          </w:p>
        </w:tc>
        <w:tc>
          <w:tcPr>
            <w:tcW w:w="3298" w:type="dxa"/>
          </w:tcPr>
          <w:p w14:paraId="18C29C20" w14:textId="1E109768" w:rsidR="00652E8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Vice President for Research</w:t>
            </w:r>
          </w:p>
        </w:tc>
        <w:tc>
          <w:tcPr>
            <w:tcW w:w="4333" w:type="dxa"/>
          </w:tcPr>
          <w:p w14:paraId="5BC8F03E" w14:textId="0B5241E7" w:rsidR="00652E8D" w:rsidRPr="00237C91" w:rsidRDefault="00750B29" w:rsidP="00FB0443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Overview of </w:t>
            </w:r>
            <w:r>
              <w:t>research funding and expenditures</w:t>
            </w:r>
          </w:p>
        </w:tc>
      </w:tr>
      <w:tr w:rsidR="00652E8D" w14:paraId="2F12901D" w14:textId="46B573AF" w:rsidTr="00F84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0F9BEB49" w14:textId="269F7F09" w:rsidR="00652E8D" w:rsidRPr="00237C91" w:rsidRDefault="00652E8D" w:rsidP="009534EF">
            <w:pPr>
              <w:pStyle w:val="EABTableRowHeader"/>
            </w:pPr>
            <w:r w:rsidRPr="00237C91">
              <w:rPr>
                <w:bCs/>
              </w:rPr>
              <w:t>Indirect Cost Recovery and Other Revenue</w:t>
            </w:r>
          </w:p>
        </w:tc>
        <w:tc>
          <w:tcPr>
            <w:tcW w:w="3298" w:type="dxa"/>
          </w:tcPr>
          <w:p w14:paraId="28A93984" w14:textId="3CBF3AF1" w:rsidR="00652E8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Controller</w:t>
            </w:r>
          </w:p>
        </w:tc>
        <w:tc>
          <w:tcPr>
            <w:tcW w:w="4333" w:type="dxa"/>
          </w:tcPr>
          <w:p w14:paraId="4DF3A5CE" w14:textId="52F3E6C2" w:rsidR="00750B29" w:rsidRPr="00237C91" w:rsidRDefault="00750B29" w:rsidP="00750B29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  <w:r>
              <w:rPr>
                <w:color w:val="333E48" w:themeColor="text1"/>
              </w:rPr>
              <w:t>Development of the F&amp;A rate, overview of internal sales and external sales</w:t>
            </w:r>
          </w:p>
          <w:p w14:paraId="3A23CF66" w14:textId="144B1184" w:rsidR="00652E8D" w:rsidRPr="00237C91" w:rsidRDefault="00652E8D" w:rsidP="00750B29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</w:p>
        </w:tc>
      </w:tr>
      <w:tr w:rsidR="00652E8D" w14:paraId="63B699C9" w14:textId="0AD85932" w:rsidTr="00F84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4489F5EB" w14:textId="0DC1411C" w:rsidR="00652E8D" w:rsidRPr="00237C91" w:rsidRDefault="00652E8D" w:rsidP="009534EF">
            <w:pPr>
              <w:pStyle w:val="EABTableRowHeader"/>
            </w:pPr>
            <w:r w:rsidRPr="00237C91">
              <w:t>Tuition and Financial Aid</w:t>
            </w:r>
          </w:p>
        </w:tc>
        <w:tc>
          <w:tcPr>
            <w:tcW w:w="3298" w:type="dxa"/>
          </w:tcPr>
          <w:p w14:paraId="143B80BA" w14:textId="77777777" w:rsidR="0035049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 xml:space="preserve">Director of Student Finance </w:t>
            </w:r>
          </w:p>
          <w:p w14:paraId="10CB0FBE" w14:textId="7B4B5652" w:rsidR="00652E8D" w:rsidRPr="00237C91" w:rsidRDefault="00652E8D" w:rsidP="0035049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Director of Institutional Analysis</w:t>
            </w:r>
          </w:p>
        </w:tc>
        <w:tc>
          <w:tcPr>
            <w:tcW w:w="4333" w:type="dxa"/>
          </w:tcPr>
          <w:p w14:paraId="28E27E2D" w14:textId="7C1059D6" w:rsidR="00652E8D" w:rsidRPr="00237C91" w:rsidRDefault="00455BC0" w:rsidP="00FB0443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Overview of t</w:t>
            </w:r>
            <w:r w:rsidR="00750B29">
              <w:t>uition rates</w:t>
            </w:r>
            <w:r>
              <w:t>, tuition budget, and need- and merit-based aid</w:t>
            </w:r>
          </w:p>
        </w:tc>
      </w:tr>
      <w:tr w:rsidR="00652E8D" w14:paraId="0810754B" w14:textId="140F41DE" w:rsidTr="00F84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</w:tcPr>
          <w:p w14:paraId="7D57E832" w14:textId="3CEEE5F7" w:rsidR="00652E8D" w:rsidRPr="00237C91" w:rsidRDefault="00652E8D" w:rsidP="009534EF">
            <w:pPr>
              <w:pStyle w:val="EABTableRowHeader"/>
            </w:pPr>
            <w:r w:rsidRPr="00237C91">
              <w:rPr>
                <w:bCs/>
              </w:rPr>
              <w:t xml:space="preserve">Financial Reporting </w:t>
            </w:r>
            <w:r w:rsidR="00EC2AB5">
              <w:rPr>
                <w:bCs/>
              </w:rPr>
              <w:t>and</w:t>
            </w:r>
            <w:r w:rsidRPr="00237C91">
              <w:rPr>
                <w:bCs/>
              </w:rPr>
              <w:t xml:space="preserve"> Institutional Analyses</w:t>
            </w:r>
          </w:p>
        </w:tc>
        <w:tc>
          <w:tcPr>
            <w:tcW w:w="3298" w:type="dxa"/>
          </w:tcPr>
          <w:p w14:paraId="6B0C8CAD" w14:textId="77777777" w:rsidR="0035049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Director of Institutional Analysis</w:t>
            </w:r>
          </w:p>
          <w:p w14:paraId="62C7AA54" w14:textId="5891C3AC" w:rsidR="00652E8D" w:rsidRPr="00237C91" w:rsidRDefault="00652E8D" w:rsidP="0035049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 xml:space="preserve">Associate Vice President of University Finance/Budget Director </w:t>
            </w:r>
          </w:p>
        </w:tc>
        <w:tc>
          <w:tcPr>
            <w:tcW w:w="4333" w:type="dxa"/>
          </w:tcPr>
          <w:p w14:paraId="285E99FF" w14:textId="0DB138FF" w:rsidR="00652E8D" w:rsidRPr="00237C91" w:rsidRDefault="00455BC0" w:rsidP="0001481B">
            <w:pPr>
              <w:pStyle w:val="EABGraphi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existing reports and recommended analyses</w:t>
            </w:r>
          </w:p>
        </w:tc>
      </w:tr>
    </w:tbl>
    <w:p w14:paraId="3525E4EB" w14:textId="77777777" w:rsidR="00D36698" w:rsidRDefault="00D36698" w:rsidP="00D36698">
      <w:pPr>
        <w:pStyle w:val="EABHeading3NotLinked"/>
      </w:pPr>
    </w:p>
    <w:p w14:paraId="6B003E7F" w14:textId="77777777" w:rsidR="00D36698" w:rsidRDefault="00D36698">
      <w:pPr>
        <w:spacing w:after="160" w:line="259" w:lineRule="auto"/>
        <w:rPr>
          <w:rFonts w:eastAsiaTheme="majorEastAsia" w:cstheme="majorBidi"/>
          <w:b/>
          <w:color w:val="A0A4A9" w:themeColor="accent2"/>
          <w:sz w:val="24"/>
          <w:szCs w:val="24"/>
        </w:rPr>
      </w:pPr>
      <w:r>
        <w:br w:type="page"/>
      </w:r>
    </w:p>
    <w:p w14:paraId="5587ABE0" w14:textId="09CBD03C" w:rsidR="00D36698" w:rsidRDefault="00D36698" w:rsidP="00D36698">
      <w:pPr>
        <w:pStyle w:val="EABHeading3NotLinked"/>
      </w:pPr>
      <w:r>
        <w:lastRenderedPageBreak/>
        <w:t>Finance Academy Agenda</w:t>
      </w:r>
    </w:p>
    <w:p w14:paraId="50D99D9F" w14:textId="77777777" w:rsidR="00D36698" w:rsidRDefault="00D36698" w:rsidP="00D36698">
      <w:pPr>
        <w:pStyle w:val="Heading4"/>
      </w:pPr>
      <w:r>
        <w:t>November 1, 2018</w:t>
      </w:r>
    </w:p>
    <w:p w14:paraId="4780B028" w14:textId="77777777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1:00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President's Welcome/Comments</w:t>
      </w:r>
    </w:p>
    <w:p w14:paraId="2EF2CEBE" w14:textId="77777777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1:15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Biennial Budget Request Development</w:t>
      </w:r>
    </w:p>
    <w:p w14:paraId="33F20B31" w14:textId="3594571B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1:45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Capital Budget Request</w:t>
      </w:r>
      <w:r w:rsidR="0041394B">
        <w:rPr>
          <w:rStyle w:val="Emphasis"/>
          <w:i w:val="0"/>
          <w:iCs w:val="0"/>
        </w:rPr>
        <w:t xml:space="preserve"> and </w:t>
      </w:r>
      <w:r w:rsidRPr="00262F1F">
        <w:rPr>
          <w:rStyle w:val="Emphasis"/>
          <w:i w:val="0"/>
          <w:iCs w:val="0"/>
        </w:rPr>
        <w:t>Deferred Maintenance</w:t>
      </w:r>
    </w:p>
    <w:p w14:paraId="67A42B2B" w14:textId="77777777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2:15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  <w:t>BREAK</w:t>
      </w:r>
      <w:r w:rsidRPr="00262F1F">
        <w:rPr>
          <w:rStyle w:val="Emphasis"/>
          <w:i w:val="0"/>
          <w:iCs w:val="0"/>
        </w:rPr>
        <w:t xml:space="preserve"> (snacks and beverages) </w:t>
      </w:r>
    </w:p>
    <w:p w14:paraId="2018FEB1" w14:textId="77777777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2:30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Human Resource Basics</w:t>
      </w:r>
    </w:p>
    <w:p w14:paraId="79EF9F9E" w14:textId="15FBE662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3:15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O&amp;M Position Approval Process</w:t>
      </w:r>
      <w:r w:rsidR="006172BF">
        <w:rPr>
          <w:rStyle w:val="Emphasis"/>
          <w:i w:val="0"/>
          <w:iCs w:val="0"/>
        </w:rPr>
        <w:t xml:space="preserve"> and Reporting</w:t>
      </w:r>
    </w:p>
    <w:p w14:paraId="78CB7000" w14:textId="22D8C85D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3:30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>R</w:t>
      </w:r>
      <w:r>
        <w:rPr>
          <w:rStyle w:val="Emphasis"/>
          <w:i w:val="0"/>
          <w:iCs w:val="0"/>
        </w:rPr>
        <w:t>eview</w:t>
      </w:r>
      <w:r w:rsidRPr="00262F1F">
        <w:rPr>
          <w:rStyle w:val="Emphasis"/>
          <w:i w:val="0"/>
          <w:iCs w:val="0"/>
        </w:rPr>
        <w:t xml:space="preserve"> Session: Budget Overview/Model/Decision/Making </w:t>
      </w:r>
      <w:r w:rsidR="00EC2AB5">
        <w:rPr>
          <w:rStyle w:val="Emphasis"/>
          <w:i w:val="0"/>
          <w:iCs w:val="0"/>
        </w:rPr>
        <w:t>and</w:t>
      </w:r>
      <w:r w:rsidRPr="00262F1F">
        <w:rPr>
          <w:rStyle w:val="Emphasis"/>
          <w:i w:val="0"/>
          <w:iCs w:val="0"/>
        </w:rPr>
        <w:t xml:space="preserve"> Framework </w:t>
      </w:r>
    </w:p>
    <w:p w14:paraId="2F9496BA" w14:textId="77777777" w:rsidR="00D36698" w:rsidRPr="00262F1F" w:rsidRDefault="00D36698" w:rsidP="00D36698">
      <w:pPr>
        <w:pStyle w:val="BodyText"/>
        <w:rPr>
          <w:rStyle w:val="Emphasis"/>
          <w:i w:val="0"/>
          <w:iCs w:val="0"/>
        </w:rPr>
      </w:pPr>
      <w:r w:rsidRPr="00262F1F">
        <w:rPr>
          <w:rStyle w:val="Emphasis"/>
          <w:i w:val="0"/>
          <w:iCs w:val="0"/>
        </w:rPr>
        <w:t>5:00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262F1F">
        <w:rPr>
          <w:rStyle w:val="Emphasis"/>
          <w:i w:val="0"/>
          <w:iCs w:val="0"/>
        </w:rPr>
        <w:t xml:space="preserve">Afternoon session and wrap-up </w:t>
      </w:r>
    </w:p>
    <w:p w14:paraId="7267389B" w14:textId="77777777" w:rsidR="00D36698" w:rsidRDefault="00D36698" w:rsidP="00D36698">
      <w:pPr>
        <w:pStyle w:val="Heading4"/>
        <w:rPr>
          <w:rStyle w:val="Emphasis"/>
          <w:i w:val="0"/>
          <w:iCs/>
        </w:rPr>
      </w:pPr>
      <w:r>
        <w:rPr>
          <w:rStyle w:val="Emphasis"/>
          <w:i w:val="0"/>
          <w:iCs/>
        </w:rPr>
        <w:t>November 2, 2018</w:t>
      </w:r>
    </w:p>
    <w:p w14:paraId="7CF386BE" w14:textId="77777777" w:rsidR="00D36698" w:rsidRPr="00CD4D85" w:rsidRDefault="00D36698" w:rsidP="00D36698">
      <w:pPr>
        <w:pStyle w:val="BodyText"/>
      </w:pPr>
      <w:r w:rsidRPr="00CD4D85">
        <w:t>7:30</w:t>
      </w:r>
      <w:r>
        <w:tab/>
      </w:r>
      <w:r>
        <w:tab/>
      </w:r>
      <w:r w:rsidRPr="00CD4D85">
        <w:t xml:space="preserve">Light breakfast </w:t>
      </w:r>
    </w:p>
    <w:p w14:paraId="258531B8" w14:textId="2601DADB" w:rsidR="00D36698" w:rsidRPr="00CD4D85" w:rsidRDefault="00D36698" w:rsidP="00D36698">
      <w:pPr>
        <w:pStyle w:val="BodyText"/>
      </w:pPr>
      <w:r w:rsidRPr="00CD4D85">
        <w:t>8:00</w:t>
      </w:r>
      <w:r>
        <w:tab/>
      </w:r>
      <w:r>
        <w:tab/>
      </w:r>
      <w:r w:rsidRPr="00CD4D85">
        <w:t>Auxiliary Units</w:t>
      </w:r>
      <w:r w:rsidR="00365524">
        <w:t xml:space="preserve"> and </w:t>
      </w:r>
      <w:r w:rsidRPr="00CD4D85">
        <w:t>Business Models</w:t>
      </w:r>
    </w:p>
    <w:p w14:paraId="01D11BB7" w14:textId="316D8BEE" w:rsidR="00D36698" w:rsidRPr="00CD4D85" w:rsidRDefault="00D36698" w:rsidP="00D36698">
      <w:pPr>
        <w:pStyle w:val="BodyText"/>
      </w:pPr>
      <w:r w:rsidRPr="00CD4D85">
        <w:t>9:00</w:t>
      </w:r>
      <w:r>
        <w:tab/>
      </w:r>
      <w:r>
        <w:tab/>
      </w:r>
      <w:r w:rsidR="00AB3636" w:rsidRPr="0044467B">
        <w:rPr>
          <w:bCs/>
        </w:rPr>
        <w:t xml:space="preserve">Introduction to </w:t>
      </w:r>
      <w:r w:rsidR="00AB3636">
        <w:rPr>
          <w:bCs/>
        </w:rPr>
        <w:t xml:space="preserve">the </w:t>
      </w:r>
      <w:r w:rsidR="00AB3636" w:rsidRPr="0044467B">
        <w:rPr>
          <w:bCs/>
        </w:rPr>
        <w:t>Office of Investments and Banking (OIB</w:t>
      </w:r>
      <w:r w:rsidR="00AB3636">
        <w:rPr>
          <w:bCs/>
        </w:rPr>
        <w:t>)</w:t>
      </w:r>
    </w:p>
    <w:p w14:paraId="4E20F3FA" w14:textId="77777777" w:rsidR="00D36698" w:rsidRPr="00CD4D85" w:rsidRDefault="00D36698" w:rsidP="00D36698">
      <w:pPr>
        <w:pStyle w:val="BodyText"/>
      </w:pPr>
      <w:r w:rsidRPr="00CD4D85">
        <w:t>10:00</w:t>
      </w:r>
      <w:r>
        <w:tab/>
      </w:r>
      <w:r>
        <w:tab/>
        <w:t>BREAK</w:t>
      </w:r>
      <w:r w:rsidRPr="00CD4D85">
        <w:t xml:space="preserve"> (beverages)</w:t>
      </w:r>
    </w:p>
    <w:p w14:paraId="613C9603" w14:textId="216E3A80" w:rsidR="00D36698" w:rsidRPr="00CD4D85" w:rsidRDefault="00D36698" w:rsidP="00D36698">
      <w:pPr>
        <w:pStyle w:val="BodyText"/>
      </w:pPr>
      <w:r w:rsidRPr="00CD4D85">
        <w:t>10:15</w:t>
      </w:r>
      <w:r>
        <w:tab/>
      </w:r>
      <w:r>
        <w:tab/>
      </w:r>
      <w:r w:rsidR="00B674C8">
        <w:t xml:space="preserve">Tuition and </w:t>
      </w:r>
      <w:r w:rsidRPr="00CD4D85">
        <w:t xml:space="preserve">Financial Aid </w:t>
      </w:r>
    </w:p>
    <w:p w14:paraId="6C53D9EA" w14:textId="65566174" w:rsidR="00D36698" w:rsidRPr="00CD4D85" w:rsidRDefault="00D36698" w:rsidP="00D36698">
      <w:pPr>
        <w:pStyle w:val="BodyText"/>
      </w:pPr>
      <w:r w:rsidRPr="00CD4D85">
        <w:t>11:00</w:t>
      </w:r>
      <w:r>
        <w:tab/>
      </w:r>
      <w:r>
        <w:tab/>
      </w:r>
      <w:r w:rsidRPr="00CD4D85">
        <w:t>Fringe Benefits</w:t>
      </w:r>
      <w:r w:rsidR="00B674C8">
        <w:t xml:space="preserve"> Rates</w:t>
      </w:r>
      <w:r w:rsidRPr="00CD4D85">
        <w:t xml:space="preserve"> </w:t>
      </w:r>
    </w:p>
    <w:p w14:paraId="67DBC444" w14:textId="77777777" w:rsidR="00D36698" w:rsidRDefault="00D36698" w:rsidP="00D36698">
      <w:pPr>
        <w:pStyle w:val="BodyText"/>
      </w:pPr>
      <w:r w:rsidRPr="00CD4D85">
        <w:t>11:45</w:t>
      </w:r>
      <w:r>
        <w:tab/>
      </w:r>
      <w:r>
        <w:tab/>
      </w:r>
      <w:r w:rsidRPr="00CD4D85">
        <w:t>Closing remarks and evaluation</w:t>
      </w:r>
    </w:p>
    <w:p w14:paraId="75055205" w14:textId="77777777" w:rsidR="00D36698" w:rsidRPr="00CD4D85" w:rsidRDefault="00D36698" w:rsidP="00D36698">
      <w:pPr>
        <w:pStyle w:val="BodyText"/>
      </w:pPr>
    </w:p>
    <w:p w14:paraId="68288A8B" w14:textId="77777777" w:rsidR="00D36698" w:rsidRDefault="00D36698" w:rsidP="00D36698">
      <w:pPr>
        <w:pStyle w:val="EABHeading3NotLinked"/>
      </w:pPr>
      <w:r>
        <w:br w:type="page"/>
      </w:r>
      <w:r>
        <w:lastRenderedPageBreak/>
        <w:t>Finance Academy Sessions</w:t>
      </w:r>
    </w:p>
    <w:p w14:paraId="7657D2BB" w14:textId="77777777" w:rsidR="00D36698" w:rsidRPr="003E729F" w:rsidRDefault="00D36698" w:rsidP="00D36698">
      <w:pPr>
        <w:pStyle w:val="EABGraphicTableText"/>
      </w:pPr>
    </w:p>
    <w:tbl>
      <w:tblPr>
        <w:tblStyle w:val="EABStandardTable"/>
        <w:tblW w:w="9638" w:type="dxa"/>
        <w:tblInd w:w="720" w:type="dxa"/>
        <w:tblLook w:val="04A0" w:firstRow="1" w:lastRow="0" w:firstColumn="1" w:lastColumn="0" w:noHBand="0" w:noVBand="1"/>
      </w:tblPr>
      <w:tblGrid>
        <w:gridCol w:w="2637"/>
        <w:gridCol w:w="3077"/>
        <w:gridCol w:w="3924"/>
      </w:tblGrid>
      <w:tr w:rsidR="00D36698" w14:paraId="093FBEA7" w14:textId="77777777" w:rsidTr="008C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223C40C7" w14:textId="77777777" w:rsidR="00D36698" w:rsidRDefault="00D36698" w:rsidP="00AE5F1D">
            <w:pPr>
              <w:pStyle w:val="EABTableColumnHeader"/>
            </w:pPr>
            <w:r>
              <w:t>Course Title</w:t>
            </w:r>
          </w:p>
        </w:tc>
        <w:tc>
          <w:tcPr>
            <w:tcW w:w="3077" w:type="dxa"/>
          </w:tcPr>
          <w:p w14:paraId="7C8DDB0C" w14:textId="77777777" w:rsidR="00D36698" w:rsidRDefault="00D36698" w:rsidP="00AE5F1D">
            <w:pPr>
              <w:pStyle w:val="EABTableColum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Instructors</w:t>
            </w:r>
          </w:p>
        </w:tc>
        <w:tc>
          <w:tcPr>
            <w:tcW w:w="3924" w:type="dxa"/>
          </w:tcPr>
          <w:p w14:paraId="69194382" w14:textId="77777777" w:rsidR="00D36698" w:rsidRDefault="00D36698" w:rsidP="00AE5F1D">
            <w:pPr>
              <w:pStyle w:val="EABTableColum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D36698" w14:paraId="058FF76F" w14:textId="77777777" w:rsidTr="008C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6D81B9C6" w14:textId="28814BC2" w:rsidR="00D36698" w:rsidRPr="00237C91" w:rsidRDefault="00476E6E" w:rsidP="00AE5F1D">
            <w:pPr>
              <w:pStyle w:val="EABTableRowHeader"/>
            </w:pPr>
            <w:r>
              <w:t>Biennial Budget Request Development</w:t>
            </w:r>
          </w:p>
        </w:tc>
        <w:tc>
          <w:tcPr>
            <w:tcW w:w="3077" w:type="dxa"/>
          </w:tcPr>
          <w:p w14:paraId="73DAA096" w14:textId="77777777" w:rsidR="00476E6E" w:rsidRPr="00237C91" w:rsidRDefault="00476E6E" w:rsidP="00476E6E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Senior Vice President for Finance and Operations</w:t>
            </w:r>
          </w:p>
          <w:p w14:paraId="12C9924C" w14:textId="254F881D" w:rsidR="00D36698" w:rsidRPr="00237C91" w:rsidRDefault="00476E6E" w:rsidP="00476E6E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</w:tc>
        <w:tc>
          <w:tcPr>
            <w:tcW w:w="3924" w:type="dxa"/>
          </w:tcPr>
          <w:p w14:paraId="59FE22F5" w14:textId="6D9D0A3B" w:rsidR="00D36698" w:rsidRPr="008C1DA4" w:rsidRDefault="00476E6E" w:rsidP="00AE5F1D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  <w:r w:rsidRPr="008C1DA4">
              <w:rPr>
                <w:color w:val="333E48" w:themeColor="text1"/>
              </w:rPr>
              <w:t>Overview of university revenues and expenditures</w:t>
            </w:r>
            <w:r w:rsidRPr="008C1DA4">
              <w:rPr>
                <w:color w:val="333E48" w:themeColor="text1"/>
              </w:rPr>
              <w:t>, overview of budget request development and request process</w:t>
            </w:r>
          </w:p>
        </w:tc>
      </w:tr>
      <w:tr w:rsidR="00D36698" w14:paraId="1C415126" w14:textId="77777777" w:rsidTr="008C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7F141C69" w14:textId="7D41C8DA" w:rsidR="00D36698" w:rsidRPr="00237C91" w:rsidRDefault="00476E6E" w:rsidP="00AE5F1D">
            <w:pPr>
              <w:pStyle w:val="EABTableRowHeader"/>
            </w:pPr>
            <w:r w:rsidRPr="00262F1F">
              <w:rPr>
                <w:rStyle w:val="Emphasis"/>
                <w:i w:val="0"/>
                <w:iCs w:val="0"/>
              </w:rPr>
              <w:t>Capital Budget Request</w:t>
            </w:r>
            <w:r w:rsidR="0041394B">
              <w:rPr>
                <w:rStyle w:val="Emphasis"/>
                <w:i w:val="0"/>
                <w:iCs w:val="0"/>
              </w:rPr>
              <w:t xml:space="preserve"> and </w:t>
            </w:r>
            <w:r w:rsidRPr="00262F1F">
              <w:rPr>
                <w:rStyle w:val="Emphasis"/>
                <w:i w:val="0"/>
                <w:iCs w:val="0"/>
              </w:rPr>
              <w:t xml:space="preserve">Deferred </w:t>
            </w:r>
            <w:r w:rsidR="0041394B" w:rsidRPr="00262F1F">
              <w:rPr>
                <w:rStyle w:val="Emphasis"/>
                <w:i w:val="0"/>
                <w:iCs w:val="0"/>
              </w:rPr>
              <w:t>Maintenance</w:t>
            </w:r>
          </w:p>
        </w:tc>
        <w:tc>
          <w:tcPr>
            <w:tcW w:w="3077" w:type="dxa"/>
          </w:tcPr>
          <w:p w14:paraId="6665CE50" w14:textId="25F9FDFA" w:rsidR="0041394B" w:rsidRDefault="0041394B" w:rsidP="00AE5F1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Vice President, University Services</w:t>
            </w:r>
          </w:p>
          <w:p w14:paraId="3B9233F6" w14:textId="206F3C37" w:rsidR="00D36698" w:rsidRPr="00237C91" w:rsidRDefault="006C5FFB" w:rsidP="00AE5F1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Assistant Vice President/CFO, University Services</w:t>
            </w:r>
          </w:p>
        </w:tc>
        <w:tc>
          <w:tcPr>
            <w:tcW w:w="3924" w:type="dxa"/>
          </w:tcPr>
          <w:p w14:paraId="72E026E7" w14:textId="056DDCE7" w:rsidR="00D36698" w:rsidRPr="008C1DA4" w:rsidRDefault="0041394B" w:rsidP="00AE5F1D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1DA4">
              <w:t>Overview of</w:t>
            </w:r>
            <w:r w:rsidRPr="008C1DA4">
              <w:t xml:space="preserve"> capital planning process,</w:t>
            </w:r>
            <w:r w:rsidRPr="008C1DA4">
              <w:t xml:space="preserve"> costs associated with maintaining the full lifecycle of a building, and the university’s </w:t>
            </w:r>
            <w:r w:rsidRPr="008C1DA4">
              <w:t>six-year capital plan</w:t>
            </w:r>
          </w:p>
        </w:tc>
      </w:tr>
      <w:tr w:rsidR="00D36698" w14:paraId="6C28B2D0" w14:textId="77777777" w:rsidTr="008C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2962D294" w14:textId="49B0DEBD" w:rsidR="00D36698" w:rsidRPr="00237C91" w:rsidRDefault="00476E6E" w:rsidP="00AE5F1D">
            <w:pPr>
              <w:pStyle w:val="EABTableRowHeader"/>
            </w:pPr>
            <w:r w:rsidRPr="00262F1F">
              <w:rPr>
                <w:rStyle w:val="Emphasis"/>
                <w:i w:val="0"/>
                <w:iCs w:val="0"/>
              </w:rPr>
              <w:t>O&amp;M Position Approval Process</w:t>
            </w:r>
            <w:r w:rsidR="006172BF" w:rsidRPr="006172BF">
              <w:rPr>
                <w:rStyle w:val="Emphasis"/>
                <w:i w:val="0"/>
                <w:iCs w:val="0"/>
              </w:rPr>
              <w:t xml:space="preserve"> </w:t>
            </w:r>
            <w:r w:rsidR="006172BF" w:rsidRPr="006172BF">
              <w:rPr>
                <w:rStyle w:val="Emphasis"/>
                <w:i w:val="0"/>
              </w:rPr>
              <w:t>and Reporting</w:t>
            </w:r>
          </w:p>
        </w:tc>
        <w:tc>
          <w:tcPr>
            <w:tcW w:w="3077" w:type="dxa"/>
          </w:tcPr>
          <w:p w14:paraId="469D71A0" w14:textId="29CCCE70" w:rsidR="00D36698" w:rsidRPr="00237C91" w:rsidRDefault="006172BF" w:rsidP="00AE5F1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 Budget Analyst</w:t>
            </w:r>
          </w:p>
        </w:tc>
        <w:tc>
          <w:tcPr>
            <w:tcW w:w="3924" w:type="dxa"/>
          </w:tcPr>
          <w:p w14:paraId="211CE277" w14:textId="690E6514" w:rsidR="00D36698" w:rsidRPr="008C1DA4" w:rsidRDefault="008C1DA4" w:rsidP="00AE5F1D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  <w:r w:rsidRPr="008C1DA4">
              <w:rPr>
                <w:color w:val="333E48" w:themeColor="text1"/>
              </w:rPr>
              <w:t xml:space="preserve">Overview of </w:t>
            </w:r>
            <w:r>
              <w:rPr>
                <w:color w:val="333E48" w:themeColor="text1"/>
              </w:rPr>
              <w:t>q</w:t>
            </w:r>
            <w:r w:rsidRPr="008C1DA4">
              <w:rPr>
                <w:color w:val="333E48" w:themeColor="text1"/>
              </w:rPr>
              <w:t>uarterly reporting process and position approval process</w:t>
            </w:r>
          </w:p>
        </w:tc>
      </w:tr>
      <w:tr w:rsidR="008C1DA4" w14:paraId="1320C074" w14:textId="77777777" w:rsidTr="008C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0FAADFA7" w14:textId="198FAF9E" w:rsidR="008C1DA4" w:rsidRPr="00CD4D85" w:rsidRDefault="008C1DA4" w:rsidP="0041394B">
            <w:pPr>
              <w:pStyle w:val="EABTableRowHeader"/>
            </w:pPr>
            <w:r>
              <w:t>Review of Budget Models and Budget Process</w:t>
            </w:r>
          </w:p>
        </w:tc>
        <w:tc>
          <w:tcPr>
            <w:tcW w:w="3077" w:type="dxa"/>
          </w:tcPr>
          <w:p w14:paraId="16DC7F87" w14:textId="77777777" w:rsidR="008C1DA4" w:rsidRPr="00237C91" w:rsidRDefault="008C1DA4" w:rsidP="008C1DA4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  <w:p w14:paraId="2952CE9B" w14:textId="24151797" w:rsidR="008C1DA4" w:rsidRPr="00237C91" w:rsidRDefault="008C1DA4" w:rsidP="008C1DA4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Senior Budget Analyst</w:t>
            </w:r>
          </w:p>
        </w:tc>
        <w:tc>
          <w:tcPr>
            <w:tcW w:w="3924" w:type="dxa"/>
          </w:tcPr>
          <w:p w14:paraId="4D139A89" w14:textId="4760F789" w:rsidR="008C1DA4" w:rsidRPr="008C1DA4" w:rsidRDefault="008C1DA4" w:rsidP="008C1DA4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1DA4">
              <w:t>Overview of university revenues and expenditures, national and state trends</w:t>
            </w:r>
            <w:r w:rsidR="0019238B">
              <w:br/>
            </w:r>
            <w:r w:rsidRPr="008C1DA4">
              <w:t>for educational appropriations, and</w:t>
            </w:r>
            <w:r w:rsidR="0019238B">
              <w:br/>
            </w:r>
            <w:r w:rsidRPr="008C1DA4">
              <w:t>tuition trends</w:t>
            </w:r>
            <w:r w:rsidRPr="008C1DA4">
              <w:t xml:space="preserve"> </w:t>
            </w:r>
          </w:p>
          <w:p w14:paraId="2FF634B5" w14:textId="1FE4A6CF" w:rsidR="008C1DA4" w:rsidRPr="008C1DA4" w:rsidRDefault="008C1DA4" w:rsidP="008C1DA4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1DA4">
              <w:t>Development of the university’s budget model, overview of formula and cost pools</w:t>
            </w:r>
          </w:p>
          <w:p w14:paraId="68CCC7FA" w14:textId="6B5B7DCE" w:rsidR="008C1DA4" w:rsidRPr="008C1DA4" w:rsidRDefault="008C1DA4" w:rsidP="008C1DA4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1DA4">
              <w:t>Overview of budget development (e.g., participants, timeline), considerations and framework for developing the budget, and overview of budget reallocations and structural imbalances</w:t>
            </w:r>
          </w:p>
        </w:tc>
      </w:tr>
      <w:tr w:rsidR="00D36698" w14:paraId="21F26D8D" w14:textId="77777777" w:rsidTr="008C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7EB983F5" w14:textId="692DB6AC" w:rsidR="00476E6E" w:rsidRPr="00CD4D85" w:rsidRDefault="00476E6E" w:rsidP="0041394B">
            <w:pPr>
              <w:pStyle w:val="EABTableRowHeader"/>
            </w:pPr>
            <w:r w:rsidRPr="00CD4D85">
              <w:t>Auxiliary Units</w:t>
            </w:r>
            <w:r w:rsidR="00365524">
              <w:t xml:space="preserve"> and </w:t>
            </w:r>
            <w:r w:rsidRPr="00CD4D85">
              <w:t>Business Models</w:t>
            </w:r>
          </w:p>
          <w:p w14:paraId="7060CF9E" w14:textId="3290CD89" w:rsidR="00D36698" w:rsidRPr="00237C91" w:rsidRDefault="00D36698" w:rsidP="00AE5F1D">
            <w:pPr>
              <w:pStyle w:val="EABTableRowHeader"/>
            </w:pPr>
          </w:p>
        </w:tc>
        <w:tc>
          <w:tcPr>
            <w:tcW w:w="3077" w:type="dxa"/>
          </w:tcPr>
          <w:p w14:paraId="64574910" w14:textId="77777777" w:rsidR="00D36698" w:rsidRDefault="0044467B" w:rsidP="00AE5F1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Assistant Vice President/CFO, University Services</w:t>
            </w:r>
          </w:p>
          <w:p w14:paraId="0E5F0CAE" w14:textId="68D03DF8" w:rsidR="0044467B" w:rsidRPr="00237C91" w:rsidRDefault="0044467B" w:rsidP="00AE5F1D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 Vice President, Finance and Operations</w:t>
            </w:r>
          </w:p>
        </w:tc>
        <w:tc>
          <w:tcPr>
            <w:tcW w:w="3924" w:type="dxa"/>
          </w:tcPr>
          <w:p w14:paraId="6F76218F" w14:textId="667A31F5" w:rsidR="00D36698" w:rsidRPr="00237C91" w:rsidRDefault="0044467B" w:rsidP="00AE5F1D">
            <w:pPr>
              <w:pStyle w:val="EABGraphi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recharge centers and auxiliary enterprises</w:t>
            </w:r>
            <w:r w:rsidR="000D5099">
              <w:t xml:space="preserve"> and </w:t>
            </w:r>
            <w:r>
              <w:t>their revenue sources, budget</w:t>
            </w:r>
            <w:r w:rsidR="00B674C8">
              <w:t>s</w:t>
            </w:r>
            <w:r>
              <w:t>, and business models</w:t>
            </w:r>
          </w:p>
        </w:tc>
      </w:tr>
      <w:tr w:rsidR="00D36698" w14:paraId="5827765D" w14:textId="77777777" w:rsidTr="008C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6C6184C6" w14:textId="3EC2AA56" w:rsidR="0044467B" w:rsidRPr="00237C91" w:rsidRDefault="0044467B" w:rsidP="00AE5F1D">
            <w:pPr>
              <w:pStyle w:val="EABTableRowHeader"/>
            </w:pPr>
            <w:r w:rsidRPr="0044467B">
              <w:rPr>
                <w:bCs/>
              </w:rPr>
              <w:t>An Introduction to Office of Investments and Banking (OIB</w:t>
            </w:r>
            <w:r>
              <w:rPr>
                <w:bCs/>
              </w:rPr>
              <w:t>)</w:t>
            </w:r>
          </w:p>
        </w:tc>
        <w:tc>
          <w:tcPr>
            <w:tcW w:w="3077" w:type="dxa"/>
          </w:tcPr>
          <w:p w14:paraId="0B23C9CE" w14:textId="77777777" w:rsidR="00D36698" w:rsidRDefault="0044467B" w:rsidP="00AE5F1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Associate Vice President and Chief Investment Officer</w:t>
            </w:r>
          </w:p>
          <w:p w14:paraId="742F95DD" w14:textId="03570AC3" w:rsidR="0044467B" w:rsidRPr="00237C91" w:rsidRDefault="0044467B" w:rsidP="00AE5F1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Senior Director of Investment Strategy and Research</w:t>
            </w:r>
          </w:p>
        </w:tc>
        <w:tc>
          <w:tcPr>
            <w:tcW w:w="3924" w:type="dxa"/>
          </w:tcPr>
          <w:p w14:paraId="60953BE4" w14:textId="66C72127" w:rsidR="00D36698" w:rsidRPr="00237C91" w:rsidRDefault="00AB3636" w:rsidP="00AE5F1D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Overview of university and foundation funds</w:t>
            </w:r>
            <w:r w:rsidR="00B674C8">
              <w:t>,</w:t>
            </w:r>
            <w:r w:rsidR="0019238B">
              <w:t xml:space="preserve"> </w:t>
            </w:r>
            <w:r w:rsidR="00B674C8">
              <w:t>overview of</w:t>
            </w:r>
            <w:r w:rsidR="0019238B">
              <w:t xml:space="preserve"> </w:t>
            </w:r>
            <w:r>
              <w:t>investment accounts</w:t>
            </w:r>
            <w:r w:rsidR="0019238B">
              <w:t xml:space="preserve">, </w:t>
            </w:r>
            <w:r w:rsidR="00B674C8">
              <w:t>difference between endowment, quasi/restricted endowment, and quasi/unrestricted endowment</w:t>
            </w:r>
          </w:p>
        </w:tc>
      </w:tr>
      <w:tr w:rsidR="00D36698" w14:paraId="18B570D7" w14:textId="77777777" w:rsidTr="00B6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7CF4B422" w14:textId="341DDCD4" w:rsidR="00D36698" w:rsidRPr="00237C91" w:rsidRDefault="00B674C8" w:rsidP="00AE5F1D">
            <w:pPr>
              <w:pStyle w:val="EABTableRowHeader"/>
            </w:pPr>
            <w:r>
              <w:t>Tuition and Financial Aid</w:t>
            </w:r>
          </w:p>
        </w:tc>
        <w:tc>
          <w:tcPr>
            <w:tcW w:w="3077" w:type="dxa"/>
          </w:tcPr>
          <w:p w14:paraId="52AF8133" w14:textId="797CC06B" w:rsidR="00D36698" w:rsidRPr="00237C91" w:rsidRDefault="00B674C8" w:rsidP="00B674C8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C91">
              <w:t>Associate Vice President of Institutional Analysis</w:t>
            </w:r>
          </w:p>
        </w:tc>
        <w:tc>
          <w:tcPr>
            <w:tcW w:w="3924" w:type="dxa"/>
          </w:tcPr>
          <w:p w14:paraId="3994B375" w14:textId="11881F2E" w:rsidR="00D36698" w:rsidRPr="00B674C8" w:rsidRDefault="00B674C8" w:rsidP="00B674C8">
            <w:pPr>
              <w:pStyle w:val="EABTableColumn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E48" w:themeColor="text1"/>
              </w:rPr>
            </w:pPr>
            <w:r>
              <w:rPr>
                <w:color w:val="333E48" w:themeColor="text1"/>
              </w:rPr>
              <w:t>Overvi</w:t>
            </w:r>
            <w:r w:rsidRPr="00B674C8">
              <w:rPr>
                <w:color w:val="333E48" w:themeColor="text1"/>
              </w:rPr>
              <w:t xml:space="preserve">ew of tuition rates and peer comparisons, enrollment trends, </w:t>
            </w:r>
            <w:r w:rsidRPr="00B674C8">
              <w:rPr>
                <w:color w:val="333E48" w:themeColor="text1"/>
              </w:rPr>
              <w:t>need- and merit-based aid</w:t>
            </w:r>
            <w:r w:rsidRPr="00B674C8">
              <w:rPr>
                <w:color w:val="333E48" w:themeColor="text1"/>
              </w:rPr>
              <w:t>, tuition waivers, and trends in student loan deb</w:t>
            </w:r>
            <w:r>
              <w:rPr>
                <w:color w:val="333E48" w:themeColor="text1"/>
              </w:rPr>
              <w:t>t</w:t>
            </w:r>
          </w:p>
        </w:tc>
        <w:bookmarkStart w:id="1" w:name="_GoBack"/>
        <w:bookmarkEnd w:id="1"/>
      </w:tr>
      <w:tr w:rsidR="00D36698" w14:paraId="306D3E1E" w14:textId="77777777" w:rsidTr="004F3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</w:tcPr>
          <w:p w14:paraId="03B699B6" w14:textId="6876A5E2" w:rsidR="00D36698" w:rsidRPr="00237C91" w:rsidRDefault="00476E6E" w:rsidP="00AE5F1D">
            <w:pPr>
              <w:pStyle w:val="EABTableRowHeader"/>
            </w:pPr>
            <w:r w:rsidRPr="00CD4D85">
              <w:t>Fringe Benefits</w:t>
            </w:r>
            <w:r w:rsidR="00B674C8">
              <w:t xml:space="preserve"> Rates </w:t>
            </w:r>
          </w:p>
        </w:tc>
        <w:tc>
          <w:tcPr>
            <w:tcW w:w="3077" w:type="dxa"/>
          </w:tcPr>
          <w:p w14:paraId="3F2017E3" w14:textId="77777777" w:rsidR="00D36698" w:rsidRDefault="00B674C8" w:rsidP="00AE5F1D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Controller</w:t>
            </w:r>
          </w:p>
          <w:p w14:paraId="2FB6D98E" w14:textId="77777777" w:rsidR="00B674C8" w:rsidRPr="00237C91" w:rsidRDefault="00B674C8" w:rsidP="00B674C8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Associate Vice President of University Finance/Budget Director</w:t>
            </w:r>
          </w:p>
          <w:p w14:paraId="495C5E98" w14:textId="14C4DF93" w:rsidR="00B674C8" w:rsidRPr="00237C91" w:rsidRDefault="00B674C8" w:rsidP="00B674C8">
            <w:pPr>
              <w:pStyle w:val="ListBulle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7C91">
              <w:t>Senior Budget Analyst</w:t>
            </w:r>
          </w:p>
        </w:tc>
        <w:tc>
          <w:tcPr>
            <w:tcW w:w="3924" w:type="dxa"/>
          </w:tcPr>
          <w:p w14:paraId="77A5D870" w14:textId="2F88D310" w:rsidR="00D36698" w:rsidRPr="00237C91" w:rsidRDefault="00376E46" w:rsidP="00376E46">
            <w:pPr>
              <w:pStyle w:val="EABGraphi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Overview of fringe benefit rates and methodology for calculating</w:t>
            </w:r>
            <w:r w:rsidR="004F300F">
              <w:t xml:space="preserve"> rates</w:t>
            </w:r>
          </w:p>
        </w:tc>
      </w:tr>
    </w:tbl>
    <w:p w14:paraId="46BEC880" w14:textId="77777777" w:rsidR="00D36698" w:rsidRDefault="00D36698" w:rsidP="00D36698">
      <w:pPr>
        <w:spacing w:after="160" w:line="259" w:lineRule="auto"/>
        <w:rPr>
          <w:rFonts w:eastAsiaTheme="majorEastAsia" w:cstheme="majorBidi"/>
          <w:b/>
          <w:iCs/>
          <w:sz w:val="20"/>
        </w:rPr>
      </w:pPr>
    </w:p>
    <w:p w14:paraId="44C1CE44" w14:textId="2A452CF5" w:rsidR="009534EF" w:rsidRPr="009534EF" w:rsidRDefault="009534EF" w:rsidP="00D36698">
      <w:pPr>
        <w:spacing w:after="160" w:line="259" w:lineRule="auto"/>
      </w:pPr>
    </w:p>
    <w:sectPr w:rsidR="009534EF" w:rsidRPr="009534EF" w:rsidSect="00300756">
      <w:footerReference w:type="default" r:id="rId8"/>
      <w:type w:val="continuous"/>
      <w:pgSz w:w="12240" w:h="15840" w:code="1"/>
      <w:pgMar w:top="720" w:right="936" w:bottom="432" w:left="936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7A6F" w14:textId="77777777" w:rsidR="008D2BDD" w:rsidRDefault="008D2BDD" w:rsidP="009E51C7">
      <w:r>
        <w:separator/>
      </w:r>
    </w:p>
    <w:p w14:paraId="3D6AC147" w14:textId="77777777" w:rsidR="008D2BDD" w:rsidRDefault="008D2BDD"/>
  </w:endnote>
  <w:endnote w:type="continuationSeparator" w:id="0">
    <w:p w14:paraId="74EC48A7" w14:textId="77777777" w:rsidR="008D2BDD" w:rsidRDefault="008D2BDD" w:rsidP="009E51C7">
      <w:r>
        <w:continuationSeparator/>
      </w:r>
    </w:p>
    <w:p w14:paraId="27AC2F8C" w14:textId="77777777" w:rsidR="008D2BDD" w:rsidRDefault="008D2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8EEF" w14:textId="77777777" w:rsidR="009F4310" w:rsidRPr="004C407F" w:rsidRDefault="00BD29DF" w:rsidP="005E7E60">
    <w:pPr>
      <w:pStyle w:val="Footer"/>
      <w:tabs>
        <w:tab w:val="clear" w:pos="4680"/>
        <w:tab w:val="clear" w:pos="9360"/>
      </w:tabs>
      <w:spacing w:before="160"/>
      <w:rPr>
        <w:sz w:val="11"/>
        <w:szCs w:val="11"/>
      </w:rPr>
    </w:pPr>
    <w:r>
      <w:rPr>
        <w:color w:val="auto"/>
        <w:sz w:val="11"/>
        <w:szCs w:val="11"/>
      </w:rPr>
      <w:t xml:space="preserve">©2018 by EAB. All Rights Reserved. </w:t>
    </w:r>
    <w:r w:rsidR="005E7E60">
      <w:rPr>
        <w:sz w:val="11"/>
        <w:szCs w:val="11"/>
      </w:rPr>
      <w:ptab w:relativeTo="margin" w:alignment="center" w:leader="none"/>
    </w:r>
    <w:r w:rsidR="007A090A" w:rsidRPr="007A090A">
      <w:rPr>
        <w:sz w:val="17"/>
        <w:szCs w:val="17"/>
      </w:rPr>
      <w:fldChar w:fldCharType="begin"/>
    </w:r>
    <w:r w:rsidR="007A090A" w:rsidRPr="007A090A">
      <w:rPr>
        <w:sz w:val="17"/>
        <w:szCs w:val="17"/>
      </w:rPr>
      <w:instrText xml:space="preserve"> PAGE   \* MERGEFORMAT </w:instrText>
    </w:r>
    <w:r w:rsidR="007A090A" w:rsidRPr="007A090A">
      <w:rPr>
        <w:sz w:val="17"/>
        <w:szCs w:val="17"/>
      </w:rPr>
      <w:fldChar w:fldCharType="separate"/>
    </w:r>
    <w:r>
      <w:rPr>
        <w:noProof/>
        <w:sz w:val="17"/>
        <w:szCs w:val="17"/>
      </w:rPr>
      <w:t>9</w:t>
    </w:r>
    <w:r w:rsidR="007A090A" w:rsidRPr="007A090A">
      <w:rPr>
        <w:noProof/>
        <w:sz w:val="17"/>
        <w:szCs w:val="17"/>
      </w:rPr>
      <w:fldChar w:fldCharType="end"/>
    </w:r>
    <w:r w:rsidR="005E7E60" w:rsidRPr="005E7E60">
      <w:rPr>
        <w:noProof/>
        <w:sz w:val="11"/>
        <w:szCs w:val="11"/>
      </w:rPr>
      <w:ptab w:relativeTo="margin" w:alignment="right" w:leader="none"/>
    </w:r>
    <w:hyperlink r:id="rId1" w:history="1">
      <w:r w:rsidR="007A090A" w:rsidRPr="007A090A">
        <w:rPr>
          <w:rStyle w:val="Hyperlink"/>
          <w:b/>
          <w:color w:val="333E48" w:themeColor="text1"/>
          <w:sz w:val="11"/>
          <w:szCs w:val="11"/>
          <w:u w:val="none"/>
        </w:rPr>
        <w:t>eab.com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F4888" w14:textId="77777777" w:rsidR="008D2BDD" w:rsidRPr="00791772" w:rsidRDefault="008D2BDD" w:rsidP="00791772">
      <w:pPr>
        <w:pStyle w:val="Footer"/>
        <w:rPr>
          <w:sz w:val="10"/>
          <w:szCs w:val="10"/>
        </w:rPr>
      </w:pPr>
    </w:p>
  </w:footnote>
  <w:footnote w:type="continuationSeparator" w:id="0">
    <w:p w14:paraId="3F3072B7" w14:textId="77777777" w:rsidR="008D2BDD" w:rsidRDefault="008D2BDD" w:rsidP="009E51C7">
      <w:r>
        <w:continuationSeparator/>
      </w:r>
    </w:p>
    <w:p w14:paraId="40ADB7BD" w14:textId="77777777" w:rsidR="008D2BDD" w:rsidRDefault="008D2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2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9E4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4101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1E2DEC"/>
    <w:multiLevelType w:val="multilevel"/>
    <w:tmpl w:val="5510B8D0"/>
    <w:lvl w:ilvl="0">
      <w:start w:val="1"/>
      <w:numFmt w:val="bullet"/>
      <w:lvlText w:val="•"/>
      <w:lvlJc w:val="left"/>
      <w:pPr>
        <w:ind w:left="187" w:hanging="187"/>
      </w:pPr>
      <w:rPr>
        <w:rFonts w:ascii="Verdana" w:hAnsi="Verdana" w:hint="default"/>
        <w:sz w:val="16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Verdana" w:hAnsi="Verdana" w:hint="default"/>
        <w:sz w:val="16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Verdana" w:hAnsi="Verdana" w:hint="default"/>
        <w:sz w:val="16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  <w:sz w:val="16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Verdana" w:hAnsi="Verdana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2BC3"/>
    <w:multiLevelType w:val="multilevel"/>
    <w:tmpl w:val="309640B0"/>
    <w:lvl w:ilvl="0">
      <w:start w:val="1"/>
      <w:numFmt w:val="bullet"/>
      <w:pStyle w:val="ListBullet2"/>
      <w:lvlText w:val="•"/>
      <w:lvlJc w:val="left"/>
      <w:pPr>
        <w:ind w:left="187" w:hanging="187"/>
      </w:pPr>
      <w:rPr>
        <w:rFonts w:ascii="Arial" w:hAnsi="Arial" w:hint="default"/>
        <w:sz w:val="18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123" w:hanging="18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ind w:left="1310" w:hanging="18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498" w:hanging="188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ind w:left="1685" w:hanging="187"/>
      </w:pPr>
      <w:rPr>
        <w:rFonts w:ascii="Arial" w:hAnsi="Arial" w:hint="default"/>
      </w:rPr>
    </w:lvl>
  </w:abstractNum>
  <w:abstractNum w:abstractNumId="5" w15:restartNumberingAfterBreak="0">
    <w:nsid w:val="1C7316AF"/>
    <w:multiLevelType w:val="hybridMultilevel"/>
    <w:tmpl w:val="4F60A8E2"/>
    <w:lvl w:ilvl="0" w:tplc="78BAF06C">
      <w:start w:val="1"/>
      <w:numFmt w:val="decimal"/>
      <w:pStyle w:val="FootnoteTex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D4470"/>
    <w:multiLevelType w:val="multilevel"/>
    <w:tmpl w:val="E73A4AB2"/>
    <w:lvl w:ilvl="0">
      <w:start w:val="1"/>
      <w:numFmt w:val="decimal"/>
      <w:pStyle w:val="ListNumber"/>
      <w:lvlText w:val="%1."/>
      <w:lvlJc w:val="left"/>
      <w:pPr>
        <w:ind w:left="1267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427"/>
        </w:tabs>
        <w:ind w:left="2015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787"/>
        </w:tabs>
        <w:ind w:left="23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3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137" w:hanging="360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ind w:left="3511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885" w:hanging="360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ind w:left="4259" w:hanging="360"/>
      </w:pPr>
      <w:rPr>
        <w:rFonts w:ascii="Arial" w:hAnsi="Arial" w:hint="default"/>
      </w:rPr>
    </w:lvl>
  </w:abstractNum>
  <w:abstractNum w:abstractNumId="7" w15:restartNumberingAfterBreak="0">
    <w:nsid w:val="2C723A9A"/>
    <w:multiLevelType w:val="multilevel"/>
    <w:tmpl w:val="5510B8D0"/>
    <w:lvl w:ilvl="0">
      <w:start w:val="1"/>
      <w:numFmt w:val="bullet"/>
      <w:lvlText w:val="•"/>
      <w:lvlJc w:val="left"/>
      <w:pPr>
        <w:ind w:left="187" w:hanging="187"/>
      </w:pPr>
      <w:rPr>
        <w:rFonts w:ascii="Verdana" w:hAnsi="Verdana" w:hint="default"/>
        <w:sz w:val="16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Verdana" w:hAnsi="Verdana" w:hint="default"/>
        <w:sz w:val="16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Verdana" w:hAnsi="Verdana" w:hint="default"/>
        <w:sz w:val="16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  <w:sz w:val="16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Verdana" w:hAnsi="Verdana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776D"/>
    <w:multiLevelType w:val="multilevel"/>
    <w:tmpl w:val="4E604E34"/>
    <w:lvl w:ilvl="0">
      <w:start w:val="1"/>
      <w:numFmt w:val="bullet"/>
      <w:pStyle w:val="ListBullet"/>
      <w:lvlText w:val="•"/>
      <w:lvlJc w:val="left"/>
      <w:pPr>
        <w:ind w:left="1094" w:hanging="187"/>
      </w:pPr>
      <w:rPr>
        <w:rFonts w:ascii="Arial" w:hAnsi="Arial" w:hint="default"/>
        <w:sz w:val="18"/>
      </w:rPr>
    </w:lvl>
    <w:lvl w:ilvl="1">
      <w:start w:val="1"/>
      <w:numFmt w:val="bullet"/>
      <w:lvlText w:val="–"/>
      <w:lvlJc w:val="left"/>
      <w:pPr>
        <w:ind w:left="1281" w:hanging="18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468" w:hanging="18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655" w:hanging="18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ind w:left="1842" w:hanging="18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029" w:hanging="18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ind w:left="2216" w:hanging="18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403" w:hanging="187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ind w:left="2590" w:hanging="187"/>
      </w:pPr>
      <w:rPr>
        <w:rFonts w:ascii="Arial" w:hAnsi="Arial" w:hint="default"/>
      </w:rPr>
    </w:lvl>
  </w:abstractNum>
  <w:abstractNum w:abstractNumId="9" w15:restartNumberingAfterBreak="0">
    <w:nsid w:val="450C0E71"/>
    <w:multiLevelType w:val="multilevel"/>
    <w:tmpl w:val="5510B8D0"/>
    <w:lvl w:ilvl="0">
      <w:start w:val="1"/>
      <w:numFmt w:val="bullet"/>
      <w:lvlText w:val="•"/>
      <w:lvlJc w:val="left"/>
      <w:pPr>
        <w:ind w:left="187" w:hanging="187"/>
      </w:pPr>
      <w:rPr>
        <w:rFonts w:ascii="Verdana" w:hAnsi="Verdana" w:hint="default"/>
        <w:sz w:val="16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Verdana" w:hAnsi="Verdana" w:hint="default"/>
        <w:sz w:val="16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Verdana" w:hAnsi="Verdana" w:hint="default"/>
        <w:sz w:val="16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  <w:sz w:val="16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Verdana" w:hAnsi="Verdana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063CD"/>
    <w:multiLevelType w:val="multilevel"/>
    <w:tmpl w:val="FA2C0762"/>
    <w:lvl w:ilvl="0">
      <w:start w:val="1"/>
      <w:numFmt w:val="bullet"/>
      <w:lvlText w:val="•"/>
      <w:lvlJc w:val="left"/>
      <w:pPr>
        <w:ind w:left="187" w:hanging="187"/>
      </w:pPr>
      <w:rPr>
        <w:rFonts w:ascii="Verdana" w:hAnsi="Verdana" w:hint="default"/>
        <w:sz w:val="12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Verdana" w:hAnsi="Verdana" w:hint="default"/>
        <w:sz w:val="16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Verdana" w:hAnsi="Verdana" w:hint="default"/>
        <w:sz w:val="12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  <w:sz w:val="16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Verdana" w:hAnsi="Verdana" w:hint="default"/>
        <w:sz w:val="1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55E5"/>
    <w:multiLevelType w:val="multilevel"/>
    <w:tmpl w:val="5510B8D0"/>
    <w:lvl w:ilvl="0">
      <w:start w:val="1"/>
      <w:numFmt w:val="bullet"/>
      <w:lvlText w:val="•"/>
      <w:lvlJc w:val="left"/>
      <w:pPr>
        <w:ind w:left="187" w:hanging="187"/>
      </w:pPr>
      <w:rPr>
        <w:rFonts w:ascii="Verdana" w:hAnsi="Verdana" w:hint="default"/>
        <w:sz w:val="16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Verdana" w:hAnsi="Verdana" w:hint="default"/>
        <w:sz w:val="16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Verdana" w:hAnsi="Verdana" w:hint="default"/>
        <w:sz w:val="16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Verdana" w:hAnsi="Verdana" w:hint="default"/>
        <w:sz w:val="16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Verdana" w:hAnsi="Verdana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98F"/>
    <w:multiLevelType w:val="hybridMultilevel"/>
    <w:tmpl w:val="1A74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80"/>
    <w:rsid w:val="00006F4C"/>
    <w:rsid w:val="00011111"/>
    <w:rsid w:val="00011D25"/>
    <w:rsid w:val="0001481B"/>
    <w:rsid w:val="00025A84"/>
    <w:rsid w:val="0003039A"/>
    <w:rsid w:val="00030527"/>
    <w:rsid w:val="000465DC"/>
    <w:rsid w:val="0005052C"/>
    <w:rsid w:val="00067394"/>
    <w:rsid w:val="0008000B"/>
    <w:rsid w:val="000818CE"/>
    <w:rsid w:val="00097927"/>
    <w:rsid w:val="000A6311"/>
    <w:rsid w:val="000A6BA2"/>
    <w:rsid w:val="000B4D98"/>
    <w:rsid w:val="000C13D3"/>
    <w:rsid w:val="000D0E0C"/>
    <w:rsid w:val="000D5099"/>
    <w:rsid w:val="000F0F0C"/>
    <w:rsid w:val="000F48C6"/>
    <w:rsid w:val="001514C1"/>
    <w:rsid w:val="00163B5B"/>
    <w:rsid w:val="001822B2"/>
    <w:rsid w:val="00186A19"/>
    <w:rsid w:val="0019055E"/>
    <w:rsid w:val="0019238B"/>
    <w:rsid w:val="001A742D"/>
    <w:rsid w:val="001B133E"/>
    <w:rsid w:val="001B5F7C"/>
    <w:rsid w:val="001C226B"/>
    <w:rsid w:val="001C6B73"/>
    <w:rsid w:val="001D3D1F"/>
    <w:rsid w:val="001E6668"/>
    <w:rsid w:val="0020277E"/>
    <w:rsid w:val="00207B46"/>
    <w:rsid w:val="00220C74"/>
    <w:rsid w:val="00237C91"/>
    <w:rsid w:val="00262F1F"/>
    <w:rsid w:val="00285119"/>
    <w:rsid w:val="0029158A"/>
    <w:rsid w:val="00292D7C"/>
    <w:rsid w:val="00296E9E"/>
    <w:rsid w:val="002A29A3"/>
    <w:rsid w:val="002A7880"/>
    <w:rsid w:val="002C0142"/>
    <w:rsid w:val="002C45D1"/>
    <w:rsid w:val="002E402A"/>
    <w:rsid w:val="002E56A7"/>
    <w:rsid w:val="002F7A3E"/>
    <w:rsid w:val="00300756"/>
    <w:rsid w:val="00321CCE"/>
    <w:rsid w:val="0032541C"/>
    <w:rsid w:val="00326CF4"/>
    <w:rsid w:val="00332775"/>
    <w:rsid w:val="00342301"/>
    <w:rsid w:val="0035049D"/>
    <w:rsid w:val="00363B80"/>
    <w:rsid w:val="00365524"/>
    <w:rsid w:val="00376E46"/>
    <w:rsid w:val="003E729F"/>
    <w:rsid w:val="003E7A76"/>
    <w:rsid w:val="003F2B35"/>
    <w:rsid w:val="0041394B"/>
    <w:rsid w:val="00426B3E"/>
    <w:rsid w:val="004342E7"/>
    <w:rsid w:val="004430AE"/>
    <w:rsid w:val="0044467B"/>
    <w:rsid w:val="00452FBA"/>
    <w:rsid w:val="00455BC0"/>
    <w:rsid w:val="00456CB2"/>
    <w:rsid w:val="00460D34"/>
    <w:rsid w:val="00461DF1"/>
    <w:rsid w:val="0046734F"/>
    <w:rsid w:val="00475333"/>
    <w:rsid w:val="00476E6E"/>
    <w:rsid w:val="004A164F"/>
    <w:rsid w:val="004A167E"/>
    <w:rsid w:val="004B11FB"/>
    <w:rsid w:val="004C407F"/>
    <w:rsid w:val="004D1515"/>
    <w:rsid w:val="004D35E6"/>
    <w:rsid w:val="004F300F"/>
    <w:rsid w:val="0051407E"/>
    <w:rsid w:val="00523343"/>
    <w:rsid w:val="00544589"/>
    <w:rsid w:val="00585ECA"/>
    <w:rsid w:val="005E7750"/>
    <w:rsid w:val="005E7E60"/>
    <w:rsid w:val="00600AFE"/>
    <w:rsid w:val="006067BA"/>
    <w:rsid w:val="006172BF"/>
    <w:rsid w:val="00631143"/>
    <w:rsid w:val="0064466B"/>
    <w:rsid w:val="00652E8D"/>
    <w:rsid w:val="00654FCE"/>
    <w:rsid w:val="00663257"/>
    <w:rsid w:val="006832FE"/>
    <w:rsid w:val="00685627"/>
    <w:rsid w:val="0069220C"/>
    <w:rsid w:val="006B5327"/>
    <w:rsid w:val="006B55B8"/>
    <w:rsid w:val="006C5FFB"/>
    <w:rsid w:val="006C7FE0"/>
    <w:rsid w:val="006D4AD8"/>
    <w:rsid w:val="00707EFB"/>
    <w:rsid w:val="00725FE4"/>
    <w:rsid w:val="00750B29"/>
    <w:rsid w:val="00751D77"/>
    <w:rsid w:val="00752E1B"/>
    <w:rsid w:val="00756257"/>
    <w:rsid w:val="0077436F"/>
    <w:rsid w:val="00791772"/>
    <w:rsid w:val="007A090A"/>
    <w:rsid w:val="007A0D2F"/>
    <w:rsid w:val="007C4B54"/>
    <w:rsid w:val="007C5171"/>
    <w:rsid w:val="007D4D16"/>
    <w:rsid w:val="007E7B6A"/>
    <w:rsid w:val="00803999"/>
    <w:rsid w:val="0080522F"/>
    <w:rsid w:val="00805BB0"/>
    <w:rsid w:val="00860A0B"/>
    <w:rsid w:val="008637CA"/>
    <w:rsid w:val="00875608"/>
    <w:rsid w:val="00890A66"/>
    <w:rsid w:val="008A311D"/>
    <w:rsid w:val="008A634B"/>
    <w:rsid w:val="008A6F5A"/>
    <w:rsid w:val="008C1DA4"/>
    <w:rsid w:val="008D2BDD"/>
    <w:rsid w:val="008D5ADF"/>
    <w:rsid w:val="008E11E5"/>
    <w:rsid w:val="008E460F"/>
    <w:rsid w:val="00911C48"/>
    <w:rsid w:val="009259BD"/>
    <w:rsid w:val="0092611A"/>
    <w:rsid w:val="009534EF"/>
    <w:rsid w:val="009560B3"/>
    <w:rsid w:val="00962F12"/>
    <w:rsid w:val="009644BD"/>
    <w:rsid w:val="00980888"/>
    <w:rsid w:val="0099010F"/>
    <w:rsid w:val="009B58F1"/>
    <w:rsid w:val="009D1BBA"/>
    <w:rsid w:val="009D3AF0"/>
    <w:rsid w:val="009D40B0"/>
    <w:rsid w:val="009E51C7"/>
    <w:rsid w:val="009F4310"/>
    <w:rsid w:val="009F6BC4"/>
    <w:rsid w:val="00A10EA7"/>
    <w:rsid w:val="00A12C2B"/>
    <w:rsid w:val="00A22616"/>
    <w:rsid w:val="00A3497D"/>
    <w:rsid w:val="00A43207"/>
    <w:rsid w:val="00A5235F"/>
    <w:rsid w:val="00A529C4"/>
    <w:rsid w:val="00A56531"/>
    <w:rsid w:val="00A6290D"/>
    <w:rsid w:val="00AB0F3C"/>
    <w:rsid w:val="00AB169E"/>
    <w:rsid w:val="00AB3636"/>
    <w:rsid w:val="00AB4AE9"/>
    <w:rsid w:val="00AD09CC"/>
    <w:rsid w:val="00AD39F9"/>
    <w:rsid w:val="00AE2A32"/>
    <w:rsid w:val="00AE6B0C"/>
    <w:rsid w:val="00AE7187"/>
    <w:rsid w:val="00AF1D23"/>
    <w:rsid w:val="00B06293"/>
    <w:rsid w:val="00B0709F"/>
    <w:rsid w:val="00B1112E"/>
    <w:rsid w:val="00B11313"/>
    <w:rsid w:val="00B13D0E"/>
    <w:rsid w:val="00B23C36"/>
    <w:rsid w:val="00B26543"/>
    <w:rsid w:val="00B31CF5"/>
    <w:rsid w:val="00B674C8"/>
    <w:rsid w:val="00B94820"/>
    <w:rsid w:val="00BB40B4"/>
    <w:rsid w:val="00BD29DF"/>
    <w:rsid w:val="00BD77EA"/>
    <w:rsid w:val="00BD795A"/>
    <w:rsid w:val="00C201F7"/>
    <w:rsid w:val="00C229DE"/>
    <w:rsid w:val="00C30E35"/>
    <w:rsid w:val="00C46749"/>
    <w:rsid w:val="00C67584"/>
    <w:rsid w:val="00C74D9F"/>
    <w:rsid w:val="00C81313"/>
    <w:rsid w:val="00C921EB"/>
    <w:rsid w:val="00CA1BA5"/>
    <w:rsid w:val="00CA706A"/>
    <w:rsid w:val="00CB2A77"/>
    <w:rsid w:val="00CB69FD"/>
    <w:rsid w:val="00CD485C"/>
    <w:rsid w:val="00CD4D85"/>
    <w:rsid w:val="00CD54F9"/>
    <w:rsid w:val="00CE1A07"/>
    <w:rsid w:val="00D1536A"/>
    <w:rsid w:val="00D25471"/>
    <w:rsid w:val="00D36698"/>
    <w:rsid w:val="00D46C2A"/>
    <w:rsid w:val="00D47E2B"/>
    <w:rsid w:val="00D571D5"/>
    <w:rsid w:val="00D61CDB"/>
    <w:rsid w:val="00D733D0"/>
    <w:rsid w:val="00D752F8"/>
    <w:rsid w:val="00DA0CD7"/>
    <w:rsid w:val="00DE49A3"/>
    <w:rsid w:val="00E213ED"/>
    <w:rsid w:val="00E21CEA"/>
    <w:rsid w:val="00E61224"/>
    <w:rsid w:val="00E61FA6"/>
    <w:rsid w:val="00E718B1"/>
    <w:rsid w:val="00EC02C5"/>
    <w:rsid w:val="00EC2AB5"/>
    <w:rsid w:val="00F10612"/>
    <w:rsid w:val="00F1437C"/>
    <w:rsid w:val="00F24860"/>
    <w:rsid w:val="00F26107"/>
    <w:rsid w:val="00F304F1"/>
    <w:rsid w:val="00F36384"/>
    <w:rsid w:val="00F64B14"/>
    <w:rsid w:val="00F718E4"/>
    <w:rsid w:val="00F72FE3"/>
    <w:rsid w:val="00F84252"/>
    <w:rsid w:val="00F861C3"/>
    <w:rsid w:val="00F8733F"/>
    <w:rsid w:val="00F95182"/>
    <w:rsid w:val="00F95D40"/>
    <w:rsid w:val="00FA5305"/>
    <w:rsid w:val="00FA7EB9"/>
    <w:rsid w:val="00FB0443"/>
    <w:rsid w:val="00FB217B"/>
    <w:rsid w:val="00FB5404"/>
    <w:rsid w:val="00FB6B66"/>
    <w:rsid w:val="00FF1DE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78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33E48" w:themeColor="text1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29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C0142"/>
    <w:pPr>
      <w:spacing w:after="0" w:line="240" w:lineRule="auto"/>
    </w:pPr>
  </w:style>
  <w:style w:type="paragraph" w:styleId="Heading1">
    <w:name w:val="heading 1"/>
    <w:aliases w:val="EAB Heading 1 (Linked)"/>
    <w:basedOn w:val="Normal"/>
    <w:next w:val="Heading2"/>
    <w:link w:val="Heading1Char"/>
    <w:qFormat/>
    <w:rsid w:val="007E7B6A"/>
    <w:pPr>
      <w:keepNext/>
      <w:keepLines/>
      <w:pBdr>
        <w:bottom w:val="single" w:sz="6" w:space="3" w:color="auto"/>
      </w:pBdr>
      <w:suppressAutoHyphens/>
      <w:spacing w:before="240" w:after="80"/>
      <w:outlineLvl w:val="0"/>
    </w:pPr>
    <w:rPr>
      <w:rFonts w:asciiTheme="majorHAnsi" w:eastAsiaTheme="majorEastAsia" w:hAnsiTheme="majorHAnsi" w:cstheme="majorBidi"/>
      <w:color w:val="004A88" w:themeColor="accent5"/>
      <w:spacing w:val="10"/>
      <w:sz w:val="40"/>
      <w:szCs w:val="32"/>
    </w:rPr>
  </w:style>
  <w:style w:type="paragraph" w:styleId="Heading2">
    <w:name w:val="heading 2"/>
    <w:aliases w:val="EAB Heading 2 (Linked)"/>
    <w:basedOn w:val="Normal"/>
    <w:next w:val="Heading3"/>
    <w:link w:val="Heading2Char"/>
    <w:qFormat/>
    <w:rsid w:val="007E7B6A"/>
    <w:pPr>
      <w:keepNext/>
      <w:keepLines/>
      <w:suppressAutoHyphens/>
      <w:spacing w:after="2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aliases w:val="EAB Heading 3 (Linked)"/>
    <w:basedOn w:val="Normal"/>
    <w:next w:val="Heading4"/>
    <w:link w:val="Heading3Char"/>
    <w:qFormat/>
    <w:rsid w:val="009259BD"/>
    <w:pPr>
      <w:keepNext/>
      <w:keepLines/>
      <w:suppressAutoHyphens/>
      <w:spacing w:before="400"/>
      <w:ind w:left="720"/>
      <w:outlineLvl w:val="2"/>
    </w:pPr>
    <w:rPr>
      <w:rFonts w:eastAsiaTheme="majorEastAsia" w:cstheme="majorBidi"/>
      <w:b/>
      <w:color w:val="A0A4A9" w:themeColor="accent2"/>
      <w:sz w:val="24"/>
      <w:szCs w:val="24"/>
    </w:rPr>
  </w:style>
  <w:style w:type="paragraph" w:styleId="Heading4">
    <w:name w:val="heading 4"/>
    <w:aliases w:val="EAB Graphic Title / EAB Heading 4"/>
    <w:basedOn w:val="Normal"/>
    <w:next w:val="Heading5"/>
    <w:link w:val="Heading4Char"/>
    <w:uiPriority w:val="9"/>
    <w:qFormat/>
    <w:rsid w:val="009259BD"/>
    <w:pPr>
      <w:keepNext/>
      <w:keepLines/>
      <w:suppressAutoHyphens/>
      <w:spacing w:before="360" w:after="60"/>
      <w:ind w:left="720"/>
      <w:outlineLvl w:val="3"/>
    </w:pPr>
    <w:rPr>
      <w:rFonts w:eastAsiaTheme="majorEastAsia" w:cstheme="majorBidi"/>
      <w:b/>
      <w:iCs/>
      <w:sz w:val="20"/>
    </w:rPr>
  </w:style>
  <w:style w:type="paragraph" w:styleId="Heading5">
    <w:name w:val="heading 5"/>
    <w:aliases w:val="EAB Graphic Subtitle"/>
    <w:basedOn w:val="Normal"/>
    <w:next w:val="EABnpValues"/>
    <w:link w:val="Heading5Char"/>
    <w:uiPriority w:val="10"/>
    <w:qFormat/>
    <w:rsid w:val="009259BD"/>
    <w:pPr>
      <w:keepNext/>
      <w:keepLines/>
      <w:suppressAutoHyphens/>
      <w:spacing w:before="60"/>
      <w:ind w:left="720"/>
      <w:outlineLvl w:val="4"/>
    </w:pPr>
    <w:rPr>
      <w:rFonts w:eastAsiaTheme="majorEastAsia" w:cstheme="majorBidi"/>
      <w:i/>
      <w:color w:val="666E76" w:themeColor="accent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E5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12E"/>
  </w:style>
  <w:style w:type="paragraph" w:styleId="Footer">
    <w:name w:val="footer"/>
    <w:basedOn w:val="Normal"/>
    <w:link w:val="FooterChar"/>
    <w:uiPriority w:val="99"/>
    <w:semiHidden/>
    <w:rsid w:val="009E5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12E"/>
  </w:style>
  <w:style w:type="character" w:customStyle="1" w:styleId="Heading1Char">
    <w:name w:val="Heading 1 Char"/>
    <w:aliases w:val="EAB Heading 1 (Linked) Char"/>
    <w:basedOn w:val="DefaultParagraphFont"/>
    <w:link w:val="Heading1"/>
    <w:rsid w:val="007E7B6A"/>
    <w:rPr>
      <w:rFonts w:asciiTheme="majorHAnsi" w:eastAsiaTheme="majorEastAsia" w:hAnsiTheme="majorHAnsi" w:cstheme="majorBidi"/>
      <w:color w:val="004A88" w:themeColor="accent5"/>
      <w:spacing w:val="10"/>
      <w:sz w:val="40"/>
      <w:szCs w:val="32"/>
    </w:rPr>
  </w:style>
  <w:style w:type="paragraph" w:customStyle="1" w:styleId="EABHeading1NotLinked">
    <w:name w:val="EAB Heading 1 (Not Linked)"/>
    <w:basedOn w:val="Heading1"/>
    <w:next w:val="EABHeading2NotLinked"/>
    <w:qFormat/>
    <w:rsid w:val="00B23C36"/>
  </w:style>
  <w:style w:type="character" w:customStyle="1" w:styleId="Heading2Char">
    <w:name w:val="Heading 2 Char"/>
    <w:aliases w:val="EAB Heading 2 (Linked) Char"/>
    <w:basedOn w:val="DefaultParagraphFont"/>
    <w:link w:val="Heading2"/>
    <w:rsid w:val="007E7B6A"/>
    <w:rPr>
      <w:rFonts w:eastAsiaTheme="majorEastAsia" w:cstheme="majorBidi"/>
      <w:sz w:val="26"/>
      <w:szCs w:val="26"/>
    </w:rPr>
  </w:style>
  <w:style w:type="paragraph" w:customStyle="1" w:styleId="EABHeading2NotLinked">
    <w:name w:val="EAB Heading 2 (Not Linked)"/>
    <w:basedOn w:val="Heading2"/>
    <w:next w:val="EABHeading3NotLinked"/>
    <w:qFormat/>
    <w:rsid w:val="00654FCE"/>
    <w:pPr>
      <w:outlineLvl w:val="9"/>
    </w:pPr>
  </w:style>
  <w:style w:type="character" w:customStyle="1" w:styleId="Heading3Char">
    <w:name w:val="Heading 3 Char"/>
    <w:aliases w:val="EAB Heading 3 (Linked) Char"/>
    <w:basedOn w:val="DefaultParagraphFont"/>
    <w:link w:val="Heading3"/>
    <w:rsid w:val="009259BD"/>
    <w:rPr>
      <w:rFonts w:eastAsiaTheme="majorEastAsia" w:cstheme="majorBidi"/>
      <w:b/>
      <w:color w:val="A0A4A9" w:themeColor="accent2"/>
      <w:sz w:val="24"/>
      <w:szCs w:val="24"/>
    </w:rPr>
  </w:style>
  <w:style w:type="paragraph" w:customStyle="1" w:styleId="EABHeading3NotLinked">
    <w:name w:val="EAB Heading 3 (Not Linked)"/>
    <w:basedOn w:val="Heading3"/>
    <w:next w:val="Heading4"/>
    <w:qFormat/>
    <w:rsid w:val="00654FCE"/>
  </w:style>
  <w:style w:type="character" w:customStyle="1" w:styleId="Heading4Char">
    <w:name w:val="Heading 4 Char"/>
    <w:aliases w:val="EAB Graphic Title / EAB Heading 4 Char"/>
    <w:basedOn w:val="DefaultParagraphFont"/>
    <w:link w:val="Heading4"/>
    <w:uiPriority w:val="9"/>
    <w:rsid w:val="009259BD"/>
    <w:rPr>
      <w:rFonts w:eastAsiaTheme="majorEastAsia" w:cstheme="majorBidi"/>
      <w:b/>
      <w:iCs/>
      <w:sz w:val="20"/>
    </w:rPr>
  </w:style>
  <w:style w:type="character" w:customStyle="1" w:styleId="Heading5Char">
    <w:name w:val="Heading 5 Char"/>
    <w:aliases w:val="EAB Graphic Subtitle Char"/>
    <w:basedOn w:val="DefaultParagraphFont"/>
    <w:link w:val="Heading5"/>
    <w:uiPriority w:val="10"/>
    <w:rsid w:val="009259BD"/>
    <w:rPr>
      <w:rFonts w:eastAsiaTheme="majorEastAsia" w:cstheme="majorBidi"/>
      <w:i/>
      <w:color w:val="666E76" w:themeColor="accent3"/>
    </w:rPr>
  </w:style>
  <w:style w:type="paragraph" w:customStyle="1" w:styleId="EABnpValues">
    <w:name w:val="EAB n&amp;p Values"/>
    <w:basedOn w:val="BodyText"/>
    <w:next w:val="BodyText"/>
    <w:uiPriority w:val="11"/>
    <w:qFormat/>
    <w:rsid w:val="007E7B6A"/>
    <w:pPr>
      <w:tabs>
        <w:tab w:val="left" w:pos="2595"/>
      </w:tabs>
      <w:spacing w:before="60" w:after="200"/>
    </w:pPr>
    <w:rPr>
      <w:sz w:val="15"/>
    </w:rPr>
  </w:style>
  <w:style w:type="paragraph" w:styleId="BodyText">
    <w:name w:val="Body Text"/>
    <w:aliases w:val="EAB Section Text"/>
    <w:basedOn w:val="Normal"/>
    <w:link w:val="BodyTextChar"/>
    <w:uiPriority w:val="1"/>
    <w:qFormat/>
    <w:rsid w:val="009259BD"/>
    <w:pPr>
      <w:suppressAutoHyphens/>
      <w:spacing w:before="160" w:line="288" w:lineRule="auto"/>
      <w:ind w:left="720"/>
    </w:pPr>
  </w:style>
  <w:style w:type="character" w:customStyle="1" w:styleId="BodyTextChar">
    <w:name w:val="Body Text Char"/>
    <w:aliases w:val="EAB Section Text Char"/>
    <w:basedOn w:val="DefaultParagraphFont"/>
    <w:link w:val="BodyText"/>
    <w:uiPriority w:val="1"/>
    <w:rsid w:val="009259BD"/>
  </w:style>
  <w:style w:type="paragraph" w:styleId="ListBullet">
    <w:name w:val="List Bullet"/>
    <w:aliases w:val="EAB Section Bullets"/>
    <w:basedOn w:val="Normal"/>
    <w:uiPriority w:val="2"/>
    <w:qFormat/>
    <w:rsid w:val="00A12C2B"/>
    <w:pPr>
      <w:numPr>
        <w:numId w:val="1"/>
      </w:numPr>
      <w:suppressAutoHyphens/>
      <w:spacing w:before="100" w:line="288" w:lineRule="auto"/>
    </w:pPr>
  </w:style>
  <w:style w:type="paragraph" w:styleId="ListNumber">
    <w:name w:val="List Number"/>
    <w:aliases w:val="EAB Section Numbers"/>
    <w:basedOn w:val="Normal"/>
    <w:uiPriority w:val="2"/>
    <w:qFormat/>
    <w:rsid w:val="00A12C2B"/>
    <w:pPr>
      <w:numPr>
        <w:numId w:val="2"/>
      </w:numPr>
      <w:suppressAutoHyphens/>
      <w:spacing w:before="100" w:line="288" w:lineRule="auto"/>
    </w:pPr>
  </w:style>
  <w:style w:type="paragraph" w:styleId="TOC2">
    <w:name w:val="toc 2"/>
    <w:aliases w:val="EAB TOC - Level 2"/>
    <w:basedOn w:val="Normal"/>
    <w:autoRedefine/>
    <w:uiPriority w:val="39"/>
    <w:rsid w:val="00CA706A"/>
    <w:pPr>
      <w:tabs>
        <w:tab w:val="right" w:leader="dot" w:pos="10358"/>
      </w:tabs>
      <w:spacing w:before="100"/>
      <w:ind w:left="1440"/>
    </w:pPr>
  </w:style>
  <w:style w:type="paragraph" w:styleId="TOC1">
    <w:name w:val="toc 1"/>
    <w:aliases w:val="EAB TOC - Level 1"/>
    <w:basedOn w:val="Normal"/>
    <w:autoRedefine/>
    <w:uiPriority w:val="39"/>
    <w:rsid w:val="00CA706A"/>
    <w:pPr>
      <w:tabs>
        <w:tab w:val="right" w:leader="dot" w:pos="10358"/>
      </w:tabs>
      <w:spacing w:before="200"/>
      <w:ind w:left="720"/>
    </w:pPr>
    <w:rPr>
      <w:b/>
    </w:rPr>
  </w:style>
  <w:style w:type="paragraph" w:styleId="TOC3">
    <w:name w:val="toc 3"/>
    <w:aliases w:val="EAB TOC - Level 3"/>
    <w:basedOn w:val="Normal"/>
    <w:autoRedefine/>
    <w:uiPriority w:val="39"/>
    <w:rsid w:val="00CA706A"/>
    <w:pPr>
      <w:tabs>
        <w:tab w:val="right" w:leader="dot" w:pos="10358"/>
      </w:tabs>
      <w:spacing w:before="100"/>
      <w:ind w:left="2160"/>
    </w:pPr>
  </w:style>
  <w:style w:type="paragraph" w:styleId="FootnoteText">
    <w:name w:val="footnote text"/>
    <w:aliases w:val="EAB Footnote"/>
    <w:basedOn w:val="Normal"/>
    <w:link w:val="FootnoteTextChar"/>
    <w:uiPriority w:val="29"/>
    <w:rsid w:val="007E7B6A"/>
    <w:pPr>
      <w:numPr>
        <w:numId w:val="4"/>
      </w:numPr>
      <w:suppressAutoHyphens/>
      <w:ind w:left="187" w:right="3168" w:hanging="187"/>
    </w:pPr>
    <w:rPr>
      <w:sz w:val="10"/>
      <w:szCs w:val="10"/>
    </w:rPr>
  </w:style>
  <w:style w:type="paragraph" w:styleId="Caption">
    <w:name w:val="caption"/>
    <w:aliases w:val="EAB Figure Caption"/>
    <w:basedOn w:val="Normal"/>
    <w:next w:val="BodyText"/>
    <w:uiPriority w:val="30"/>
    <w:qFormat/>
    <w:rsid w:val="009259BD"/>
    <w:pPr>
      <w:suppressAutoHyphens/>
      <w:spacing w:before="160"/>
      <w:ind w:left="720"/>
    </w:pPr>
    <w:rPr>
      <w:iCs/>
      <w:sz w:val="12"/>
      <w:szCs w:val="12"/>
    </w:rPr>
  </w:style>
  <w:style w:type="paragraph" w:styleId="TableofFigures">
    <w:name w:val="table of figures"/>
    <w:aliases w:val="EAB Table of Figures"/>
    <w:basedOn w:val="Normal"/>
    <w:next w:val="Normal"/>
    <w:uiPriority w:val="99"/>
    <w:rsid w:val="00B26543"/>
    <w:pPr>
      <w:tabs>
        <w:tab w:val="right" w:leader="dot" w:pos="10354"/>
      </w:tabs>
      <w:spacing w:before="100"/>
      <w:ind w:left="720"/>
    </w:pPr>
  </w:style>
  <w:style w:type="paragraph" w:customStyle="1" w:styleId="EABNormal">
    <w:name w:val="EAB Normal"/>
    <w:uiPriority w:val="99"/>
    <w:qFormat/>
    <w:rsid w:val="0069220C"/>
    <w:pPr>
      <w:suppressAutoHyphens/>
      <w:spacing w:after="0" w:line="240" w:lineRule="auto"/>
    </w:pPr>
  </w:style>
  <w:style w:type="character" w:customStyle="1" w:styleId="FootnoteTextChar">
    <w:name w:val="Footnote Text Char"/>
    <w:aliases w:val="EAB Footnote Char"/>
    <w:basedOn w:val="DefaultParagraphFont"/>
    <w:link w:val="FootnoteText"/>
    <w:uiPriority w:val="29"/>
    <w:rsid w:val="007E7B6A"/>
    <w:rPr>
      <w:sz w:val="10"/>
      <w:szCs w:val="10"/>
    </w:rPr>
  </w:style>
  <w:style w:type="character" w:styleId="FootnoteReference">
    <w:name w:val="footnote reference"/>
    <w:basedOn w:val="DefaultParagraphFont"/>
    <w:uiPriority w:val="99"/>
    <w:semiHidden/>
    <w:rsid w:val="00523343"/>
    <w:rPr>
      <w:vertAlign w:val="superscript"/>
    </w:rPr>
  </w:style>
  <w:style w:type="paragraph" w:customStyle="1" w:styleId="EABGraphicTableText">
    <w:name w:val="EAB Graphic/Table Text"/>
    <w:basedOn w:val="BodyText"/>
    <w:uiPriority w:val="20"/>
    <w:qFormat/>
    <w:rsid w:val="007E7B6A"/>
    <w:pPr>
      <w:spacing w:before="60" w:after="60" w:line="240" w:lineRule="auto"/>
      <w:ind w:left="0"/>
    </w:pPr>
    <w:rPr>
      <w:sz w:val="16"/>
      <w:szCs w:val="16"/>
    </w:rPr>
  </w:style>
  <w:style w:type="character" w:styleId="Hyperlink">
    <w:name w:val="Hyperlink"/>
    <w:aliases w:val="EAB Hyperlink"/>
    <w:basedOn w:val="DefaultParagraphFont"/>
    <w:uiPriority w:val="99"/>
    <w:rsid w:val="00C229DE"/>
    <w:rPr>
      <w:color w:val="0070CD" w:themeColor="hyperlink"/>
      <w:u w:val="single"/>
    </w:rPr>
  </w:style>
  <w:style w:type="paragraph" w:styleId="ListBullet2">
    <w:name w:val="List Bullet 2"/>
    <w:aliases w:val="EAB Graphic/Table Bullets"/>
    <w:basedOn w:val="Normal"/>
    <w:uiPriority w:val="21"/>
    <w:qFormat/>
    <w:rsid w:val="007E7B6A"/>
    <w:pPr>
      <w:numPr>
        <w:numId w:val="7"/>
      </w:numPr>
      <w:suppressAutoHyphens/>
      <w:spacing w:before="60" w:after="60"/>
    </w:pPr>
    <w:rPr>
      <w:sz w:val="16"/>
      <w:szCs w:val="16"/>
    </w:rPr>
  </w:style>
  <w:style w:type="table" w:styleId="TableGrid">
    <w:name w:val="Table Grid"/>
    <w:basedOn w:val="TableNormal"/>
    <w:uiPriority w:val="39"/>
    <w:rsid w:val="0004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BStandardTable">
    <w:name w:val="EAB Standard Table"/>
    <w:basedOn w:val="TableNormal"/>
    <w:uiPriority w:val="99"/>
    <w:rsid w:val="00860A0B"/>
    <w:pPr>
      <w:spacing w:before="60" w:after="60" w:line="240" w:lineRule="auto"/>
    </w:pPr>
    <w:rPr>
      <w:sz w:val="1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5" w:type="dxa"/>
        <w:right w:w="115" w:type="dxa"/>
      </w:tblCellMar>
    </w:tblPr>
    <w:tblStylePr w:type="firstRow">
      <w:rPr>
        <w:b/>
        <w:color w:val="FFFFFF" w:themeColor="background1"/>
        <w:sz w:val="18"/>
      </w:rPr>
      <w:tblPr/>
      <w:tcPr>
        <w:tcBorders>
          <w:bottom w:val="single" w:sz="18" w:space="0" w:color="FFFFFF" w:themeColor="background1"/>
        </w:tcBorders>
        <w:shd w:val="clear" w:color="auto" w:fill="004A88" w:themeFill="accent5"/>
      </w:tcPr>
    </w:tblStylePr>
    <w:tblStylePr w:type="firstCol">
      <w:rPr>
        <w:b w:val="0"/>
        <w:color w:val="333E48" w:themeColor="text1"/>
      </w:rPr>
    </w:tblStylePr>
    <w:tblStylePr w:type="lastCol">
      <w:rPr>
        <w:b/>
        <w:color w:val="FFFFFF" w:themeColor="background1"/>
      </w:rPr>
      <w:tblPr/>
      <w:tcPr>
        <w:shd w:val="clear" w:color="auto" w:fill="004A88" w:themeFill="accent5"/>
      </w:tcPr>
    </w:tblStylePr>
    <w:tblStylePr w:type="band1Vert">
      <w:tblPr/>
      <w:tcPr>
        <w:shd w:val="clear" w:color="auto" w:fill="CBD0DA"/>
      </w:tcPr>
    </w:tblStylePr>
    <w:tblStylePr w:type="band2Vert">
      <w:tblPr/>
      <w:tcPr>
        <w:shd w:val="clear" w:color="auto" w:fill="E7E9ED"/>
      </w:tcPr>
    </w:tblStylePr>
    <w:tblStylePr w:type="band1Horz">
      <w:tblPr/>
      <w:tcPr>
        <w:shd w:val="clear" w:color="auto" w:fill="CBD0DA"/>
      </w:tcPr>
    </w:tblStylePr>
    <w:tblStylePr w:type="band2Horz">
      <w:tblPr/>
      <w:tcPr>
        <w:shd w:val="clear" w:color="auto" w:fill="E7E9ED"/>
      </w:tcPr>
    </w:tblStylePr>
  </w:style>
  <w:style w:type="table" w:styleId="TableGridLight">
    <w:name w:val="Grid Table Light"/>
    <w:basedOn w:val="TableNormal"/>
    <w:uiPriority w:val="40"/>
    <w:rsid w:val="00452F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verSub-program">
    <w:name w:val="Cover: Sub-program"/>
    <w:basedOn w:val="Normal"/>
    <w:uiPriority w:val="1"/>
    <w:semiHidden/>
    <w:qFormat/>
    <w:rsid w:val="001514C1"/>
    <w:pPr>
      <w:jc w:val="right"/>
    </w:pPr>
    <w:rPr>
      <w:color w:val="666E76" w:themeColor="accent3"/>
    </w:rPr>
  </w:style>
  <w:style w:type="paragraph" w:customStyle="1" w:styleId="EABTableColumnHeader">
    <w:name w:val="EAB Table Column Header"/>
    <w:uiPriority w:val="14"/>
    <w:qFormat/>
    <w:rsid w:val="00860A0B"/>
    <w:pPr>
      <w:spacing w:before="60" w:after="60" w:line="240" w:lineRule="auto"/>
    </w:pPr>
    <w:rPr>
      <w:color w:val="FFFFFF" w:themeColor="background1"/>
      <w:sz w:val="16"/>
      <w:szCs w:val="16"/>
    </w:rPr>
  </w:style>
  <w:style w:type="paragraph" w:customStyle="1" w:styleId="EABTableRowHeader">
    <w:name w:val="EAB Table Row Header"/>
    <w:uiPriority w:val="15"/>
    <w:qFormat/>
    <w:rsid w:val="00860A0B"/>
    <w:pPr>
      <w:spacing w:before="60" w:after="60" w:line="240" w:lineRule="auto"/>
    </w:pPr>
    <w:rPr>
      <w:b/>
      <w:sz w:val="16"/>
      <w:szCs w:val="16"/>
    </w:rPr>
  </w:style>
  <w:style w:type="paragraph" w:styleId="NormalWeb">
    <w:name w:val="Normal (Web)"/>
    <w:basedOn w:val="Normal"/>
    <w:uiPriority w:val="99"/>
    <w:semiHidden/>
    <w:rsid w:val="00962F12"/>
    <w:pPr>
      <w:spacing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321CC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element-invisible">
    <w:name w:val="element-invisible"/>
    <w:basedOn w:val="DefaultParagraphFont"/>
    <w:rsid w:val="009534EF"/>
  </w:style>
  <w:style w:type="character" w:styleId="Emphasis">
    <w:name w:val="Emphasis"/>
    <w:basedOn w:val="DefaultParagraphFont"/>
    <w:uiPriority w:val="20"/>
    <w:qFormat/>
    <w:rsid w:val="00FB0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81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4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72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82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80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ab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ehl\Box\EAB%20Branding,%20Templates,%20and%20Imagery\EAB%20Templates\EAB%20Word%20Templates\EAB2%20Secondary\EAB2%20Secondary%20wCover%20060518.dotm" TargetMode="External"/></Relationships>
</file>

<file path=word/theme/theme1.xml><?xml version="1.0" encoding="utf-8"?>
<a:theme xmlns:a="http://schemas.openxmlformats.org/drawingml/2006/main" name="Office Theme">
  <a:themeElements>
    <a:clrScheme name="EAB Color Palette (2017)">
      <a:dk1>
        <a:srgbClr val="333E48"/>
      </a:dk1>
      <a:lt1>
        <a:srgbClr val="FFFFFF"/>
      </a:lt1>
      <a:dk2>
        <a:srgbClr val="F28B00"/>
      </a:dk2>
      <a:lt2>
        <a:srgbClr val="D6D8DA"/>
      </a:lt2>
      <a:accent1>
        <a:srgbClr val="C4C7CA"/>
      </a:accent1>
      <a:accent2>
        <a:srgbClr val="A0A4A9"/>
      </a:accent2>
      <a:accent3>
        <a:srgbClr val="666E76"/>
      </a:accent3>
      <a:accent4>
        <a:srgbClr val="333E48"/>
      </a:accent4>
      <a:accent5>
        <a:srgbClr val="004A88"/>
      </a:accent5>
      <a:accent6>
        <a:srgbClr val="0070CD"/>
      </a:accent6>
      <a:hlink>
        <a:srgbClr val="0070CD"/>
      </a:hlink>
      <a:folHlink>
        <a:srgbClr val="A0A4A9"/>
      </a:folHlink>
    </a:clrScheme>
    <a:fontScheme name="EAB Theme Font">
      <a:majorFont>
        <a:latin typeface="Rockwel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solidFill>
            <a:schemeClr val="accent3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schemeClr val="bg1"/>
          </a:solidFill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custClrLst>
    <a:custClr name="Dark Background">
      <a:srgbClr val="003D70"/>
    </a:custClr>
    <a:custClr name="Red">
      <a:srgbClr val="CF102D"/>
    </a:custClr>
    <a:custClr name="Yellow">
      <a:srgbClr val="F6D900"/>
    </a:custClr>
    <a:custClr name="Green">
      <a:srgbClr val="7FCB3B"/>
    </a:custClr>
    <a:custClr name="Purple">
      <a:srgbClr val="8B4BB3"/>
    </a:custClr>
    <a:custClr name="Light Blue">
      <a:srgbClr val="23B1F1"/>
    </a:custClr>
    <a:custClr name="Teal">
      <a:srgbClr val="35BDCB"/>
    </a:custClr>
    <a:custClr name="Not Used">
      <a:srgbClr val="FFFFFF"/>
    </a:custClr>
    <a:custClr name="Not Used">
      <a:srgbClr val="FFFFFF"/>
    </a:custClr>
    <a:custClr name="Not Used">
      <a:srgbClr val="FFFFFF"/>
    </a:custClr>
    <a:custClr name="Not Used">
      <a:srgbClr val="FFFFFF"/>
    </a:custClr>
    <a:custClr name="Red Tint">
      <a:srgbClr val="F47A74"/>
    </a:custClr>
    <a:custClr name="Yellow Tint">
      <a:srgbClr val="FFEE6D"/>
    </a:custClr>
    <a:custClr name="Green Tint">
      <a:srgbClr val="B0DF85"/>
    </a:custClr>
    <a:custClr name="Purple Tint">
      <a:srgbClr val="BD98D4"/>
    </a:custClr>
    <a:custClr name="Light Blue Tint">
      <a:srgbClr val="92D8F8"/>
    </a:custClr>
    <a:custClr name="Teal Tint">
      <a:srgbClr val="91DBE3"/>
    </a:custClr>
    <a:custClr name="Not Used">
      <a:srgbClr val="FFFFFF"/>
    </a:custClr>
    <a:custClr name="Not Used">
      <a:srgbClr val="FFFFFF"/>
    </a:custClr>
    <a:custClr name="Not Used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93EA3C-B92F-4B43-BB24-B07E31C8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EAB2 Secondary wCover 060518</Template>
  <TotalTime>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2018-11-06T21:05:00Z</dcterms:created>
  <dcterms:modified xsi:type="dcterms:W3CDTF">2019-01-11T17:48:00Z</dcterms:modified>
</cp:coreProperties>
</file>