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B8EAA" w14:textId="3B6ED827" w:rsidR="00207B46" w:rsidRDefault="003F2B35" w:rsidP="00207B46">
      <w:pPr>
        <w:pStyle w:val="Heading1"/>
      </w:pPr>
      <w:r>
        <w:t>U</w:t>
      </w:r>
      <w:r w:rsidR="009534EF">
        <w:t>C</w:t>
      </w:r>
      <w:r w:rsidR="00296E9E">
        <w:t xml:space="preserve"> Berkeley Finance Literacy</w:t>
      </w:r>
      <w:r w:rsidR="009534EF">
        <w:t xml:space="preserve"> Training</w:t>
      </w:r>
    </w:p>
    <w:p w14:paraId="7A6D02EB" w14:textId="7141D600" w:rsidR="00207B46" w:rsidRDefault="003F2B35" w:rsidP="00207B46">
      <w:pPr>
        <w:pStyle w:val="EABHeading2NotLinked"/>
      </w:pPr>
      <w:r>
        <w:t>201</w:t>
      </w:r>
      <w:r w:rsidR="00296E9E">
        <w:t>7</w:t>
      </w:r>
      <w:r>
        <w:t>-201</w:t>
      </w:r>
      <w:r w:rsidR="00296E9E">
        <w:t>8</w:t>
      </w:r>
      <w:r>
        <w:t xml:space="preserve"> Curriculum</w:t>
      </w:r>
    </w:p>
    <w:p w14:paraId="1B2FE9D4" w14:textId="77777777" w:rsidR="00475333" w:rsidRDefault="00475333" w:rsidP="00475333">
      <w:pPr>
        <w:pStyle w:val="EABHeading3NotLinked"/>
      </w:pPr>
      <w:r>
        <w:t>Overview</w:t>
      </w:r>
    </w:p>
    <w:p w14:paraId="0C286AC6" w14:textId="77777777" w:rsidR="009534EF" w:rsidRDefault="00475333" w:rsidP="009534EF">
      <w:pPr>
        <w:pStyle w:val="BodyText"/>
      </w:pPr>
      <w:r w:rsidRPr="009534EF">
        <w:t>The Finance Literacy project launched a series of courses to help advance financial literacy across</w:t>
      </w:r>
      <w:r w:rsidR="009534EF">
        <w:t xml:space="preserve"> </w:t>
      </w:r>
      <w:r w:rsidRPr="009534EF">
        <w:t>campus by building upon the knowledge, skills, and abilities of our finance professionals. These</w:t>
      </w:r>
      <w:r w:rsidR="009534EF">
        <w:t xml:space="preserve"> </w:t>
      </w:r>
      <w:r w:rsidRPr="009534EF">
        <w:t>sessions created an environment for learning and collaboration and acted as a conduit for leaders</w:t>
      </w:r>
      <w:r w:rsidR="009534EF">
        <w:t xml:space="preserve"> </w:t>
      </w:r>
      <w:r w:rsidRPr="009534EF">
        <w:t>and subject matter experts to disseminate current thinking and topics that were unavailable in</w:t>
      </w:r>
      <w:r w:rsidR="009534EF">
        <w:t xml:space="preserve"> </w:t>
      </w:r>
      <w:r w:rsidRPr="009534EF">
        <w:t>traditional learning and development outlets.</w:t>
      </w:r>
    </w:p>
    <w:p w14:paraId="6ECAA86B" w14:textId="0BBED91A" w:rsidR="00860A0B" w:rsidRDefault="009534EF" w:rsidP="009534EF">
      <w:pPr>
        <w:pStyle w:val="EABHeading3NotLinked"/>
      </w:pPr>
      <w:bookmarkStart w:id="0" w:name="_Toc496793439"/>
      <w:r>
        <w:t>Finance Literacy Courses</w:t>
      </w:r>
      <w:bookmarkEnd w:id="0"/>
    </w:p>
    <w:p w14:paraId="339B5F63" w14:textId="24885851" w:rsidR="003E729F" w:rsidRPr="003E729F" w:rsidRDefault="003E729F" w:rsidP="003E729F">
      <w:pPr>
        <w:pStyle w:val="EABGraphicTableText"/>
      </w:pPr>
    </w:p>
    <w:tbl>
      <w:tblPr>
        <w:tblStyle w:val="EABStandardTable"/>
        <w:tblW w:w="8365" w:type="dxa"/>
        <w:tblInd w:w="720" w:type="dxa"/>
        <w:tblLook w:val="04A0" w:firstRow="1" w:lastRow="0" w:firstColumn="1" w:lastColumn="0" w:noHBand="0" w:noVBand="1"/>
      </w:tblPr>
      <w:tblGrid>
        <w:gridCol w:w="1705"/>
        <w:gridCol w:w="1890"/>
        <w:gridCol w:w="4770"/>
      </w:tblGrid>
      <w:tr w:rsidR="00761A0F" w14:paraId="08F291E7" w14:textId="77777777" w:rsidTr="008728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EEA9B93" w14:textId="3DD7748A" w:rsidR="00761A0F" w:rsidRDefault="00761A0F" w:rsidP="002C0142">
            <w:pPr>
              <w:pStyle w:val="EABTableColumnHeader"/>
            </w:pPr>
            <w:r>
              <w:t>Course Title</w:t>
            </w:r>
          </w:p>
        </w:tc>
        <w:tc>
          <w:tcPr>
            <w:tcW w:w="1890" w:type="dxa"/>
          </w:tcPr>
          <w:p w14:paraId="0A028CA9" w14:textId="59AF87F6" w:rsidR="00761A0F" w:rsidRDefault="00761A0F" w:rsidP="002C0142">
            <w:pPr>
              <w:pStyle w:val="EABTableColumnHeader"/>
              <w:cnfStyle w:val="100000000000" w:firstRow="1" w:lastRow="0" w:firstColumn="0" w:lastColumn="0" w:oddVBand="0" w:evenVBand="0" w:oddHBand="0" w:evenHBand="0" w:firstRowFirstColumn="0" w:firstRowLastColumn="0" w:lastRowFirstColumn="0" w:lastRowLastColumn="0"/>
            </w:pPr>
            <w:r>
              <w:t>Date</w:t>
            </w:r>
          </w:p>
        </w:tc>
        <w:tc>
          <w:tcPr>
            <w:tcW w:w="4770" w:type="dxa"/>
          </w:tcPr>
          <w:p w14:paraId="595F1497" w14:textId="2709DD20" w:rsidR="00761A0F" w:rsidRDefault="00761A0F" w:rsidP="002C0142">
            <w:pPr>
              <w:pStyle w:val="EABTableColumnHeader"/>
              <w:cnfStyle w:val="100000000000" w:firstRow="1" w:lastRow="0" w:firstColumn="0" w:lastColumn="0" w:oddVBand="0" w:evenVBand="0" w:oddHBand="0" w:evenHBand="0" w:firstRowFirstColumn="0" w:firstRowLastColumn="0" w:lastRowFirstColumn="0" w:lastRowLastColumn="0"/>
            </w:pPr>
            <w:r>
              <w:t>Course Details</w:t>
            </w:r>
          </w:p>
        </w:tc>
      </w:tr>
      <w:tr w:rsidR="00761A0F" w14:paraId="5545A300" w14:textId="77777777" w:rsidTr="008728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CD401FD" w14:textId="039CFB2D" w:rsidR="00761A0F" w:rsidRDefault="00761A0F" w:rsidP="00244841">
            <w:pPr>
              <w:pStyle w:val="EABTableRowHeader"/>
            </w:pPr>
            <w:r w:rsidRPr="009534EF">
              <w:t>GAAP and GASB</w:t>
            </w:r>
            <w:r w:rsidRPr="009534EF">
              <w:tab/>
            </w:r>
          </w:p>
        </w:tc>
        <w:tc>
          <w:tcPr>
            <w:tcW w:w="1890" w:type="dxa"/>
          </w:tcPr>
          <w:p w14:paraId="515A92DC" w14:textId="1241621F" w:rsidR="00761A0F" w:rsidRPr="009534EF" w:rsidRDefault="00761A0F" w:rsidP="00244841">
            <w:pPr>
              <w:pStyle w:val="EABGraphicTableText"/>
              <w:cnfStyle w:val="000000100000" w:firstRow="0" w:lastRow="0" w:firstColumn="0" w:lastColumn="0" w:oddVBand="0" w:evenVBand="0" w:oddHBand="1" w:evenHBand="0" w:firstRowFirstColumn="0" w:firstRowLastColumn="0" w:lastRowFirstColumn="0" w:lastRowLastColumn="0"/>
            </w:pPr>
            <w:r>
              <w:t>Tu</w:t>
            </w:r>
            <w:r w:rsidRPr="009534EF">
              <w:t>esday, October 31, 2017</w:t>
            </w:r>
          </w:p>
        </w:tc>
        <w:tc>
          <w:tcPr>
            <w:tcW w:w="4770" w:type="dxa"/>
          </w:tcPr>
          <w:p w14:paraId="4C5D3428" w14:textId="1EDAF7A1" w:rsidR="00761A0F" w:rsidRDefault="00761A0F" w:rsidP="00244841">
            <w:pPr>
              <w:pStyle w:val="EABGraphicTableText"/>
              <w:cnfStyle w:val="000000100000" w:firstRow="0" w:lastRow="0" w:firstColumn="0" w:lastColumn="0" w:oddVBand="0" w:evenVBand="0" w:oddHBand="1" w:evenHBand="0" w:firstRowFirstColumn="0" w:firstRowLastColumn="0" w:lastRowFirstColumn="0" w:lastRowLastColumn="0"/>
            </w:pPr>
            <w:r w:rsidRPr="009534EF">
              <w:t>This course provides an overview of key accounting rules and standards and includes an interactive exercise (Jeopardy questions and answers) to reinforce relevant definitions, concepts, and principles.</w:t>
            </w:r>
            <w:r w:rsidRPr="009534EF">
              <w:tab/>
            </w:r>
          </w:p>
        </w:tc>
      </w:tr>
      <w:tr w:rsidR="00761A0F" w14:paraId="6FE4C5EA" w14:textId="77777777" w:rsidTr="008728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B8B103D" w14:textId="22C63B86" w:rsidR="00761A0F" w:rsidRDefault="00761A0F" w:rsidP="00244841">
            <w:pPr>
              <w:pStyle w:val="EABTableRowHeader"/>
            </w:pPr>
            <w:r w:rsidRPr="009534EF">
              <w:t>Financial Statements</w:t>
            </w:r>
            <w:r w:rsidRPr="009534EF">
              <w:tab/>
            </w:r>
          </w:p>
        </w:tc>
        <w:tc>
          <w:tcPr>
            <w:tcW w:w="1890" w:type="dxa"/>
          </w:tcPr>
          <w:p w14:paraId="7511AA1E" w14:textId="5A7EA399" w:rsidR="00761A0F" w:rsidRPr="009534EF" w:rsidRDefault="00761A0F" w:rsidP="00244841">
            <w:pPr>
              <w:pStyle w:val="EABGraphicTableText"/>
              <w:cnfStyle w:val="000000010000" w:firstRow="0" w:lastRow="0" w:firstColumn="0" w:lastColumn="0" w:oddVBand="0" w:evenVBand="0" w:oddHBand="0" w:evenHBand="1" w:firstRowFirstColumn="0" w:firstRowLastColumn="0" w:lastRowFirstColumn="0" w:lastRowLastColumn="0"/>
            </w:pPr>
            <w:r>
              <w:t>T</w:t>
            </w:r>
            <w:r w:rsidRPr="009534EF">
              <w:t>hursday, November 30, 2017</w:t>
            </w:r>
          </w:p>
        </w:tc>
        <w:tc>
          <w:tcPr>
            <w:tcW w:w="4770" w:type="dxa"/>
          </w:tcPr>
          <w:p w14:paraId="50FADAD0" w14:textId="1AC0E4AE" w:rsidR="00761A0F" w:rsidRDefault="00761A0F" w:rsidP="00244841">
            <w:pPr>
              <w:pStyle w:val="EABGraphicTableText"/>
              <w:cnfStyle w:val="000000010000" w:firstRow="0" w:lastRow="0" w:firstColumn="0" w:lastColumn="0" w:oddVBand="0" w:evenVBand="0" w:oddHBand="0" w:evenHBand="1" w:firstRowFirstColumn="0" w:firstRowLastColumn="0" w:lastRowFirstColumn="0" w:lastRowLastColumn="0"/>
            </w:pPr>
            <w:r w:rsidRPr="009534EF">
              <w:t>An overview of financial statements such as the balance sheet, income statement and cash flows; and applying them to UC Berkeley's unique reporting.</w:t>
            </w:r>
            <w:r w:rsidRPr="009534EF">
              <w:tab/>
            </w:r>
          </w:p>
        </w:tc>
      </w:tr>
      <w:tr w:rsidR="00761A0F" w14:paraId="0F9F1634" w14:textId="77777777" w:rsidTr="008728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14B43BA" w14:textId="77777777" w:rsidR="00761A0F" w:rsidRDefault="00761A0F" w:rsidP="00D61CDB">
            <w:pPr>
              <w:pStyle w:val="EABTableRowHeader"/>
            </w:pPr>
            <w:r>
              <w:t>Berkeley Financial Overview</w:t>
            </w:r>
          </w:p>
          <w:p w14:paraId="540EB9BD" w14:textId="77777777" w:rsidR="00761A0F" w:rsidRPr="00D61CDB" w:rsidRDefault="00761A0F" w:rsidP="00D61CDB">
            <w:pPr>
              <w:pStyle w:val="EABTableRowHeader"/>
            </w:pPr>
          </w:p>
        </w:tc>
        <w:tc>
          <w:tcPr>
            <w:tcW w:w="1890" w:type="dxa"/>
          </w:tcPr>
          <w:p w14:paraId="0C0B8896" w14:textId="77777777" w:rsidR="00761A0F" w:rsidRDefault="00761A0F" w:rsidP="00D61CDB">
            <w:pPr>
              <w:pStyle w:val="EABGraphicTableText"/>
              <w:cnfStyle w:val="000000100000" w:firstRow="0" w:lastRow="0" w:firstColumn="0" w:lastColumn="0" w:oddVBand="0" w:evenVBand="0" w:oddHBand="1" w:evenHBand="0" w:firstRowFirstColumn="0" w:firstRowLastColumn="0" w:lastRowFirstColumn="0" w:lastRowLastColumn="0"/>
            </w:pPr>
            <w:r>
              <w:t>Tuesday, December 12, 2017</w:t>
            </w:r>
          </w:p>
          <w:p w14:paraId="53F85CB4" w14:textId="77777777" w:rsidR="00761A0F" w:rsidRDefault="00761A0F" w:rsidP="00244841">
            <w:pPr>
              <w:pStyle w:val="EABGraphicTableText"/>
              <w:cnfStyle w:val="000000100000" w:firstRow="0" w:lastRow="0" w:firstColumn="0" w:lastColumn="0" w:oddVBand="0" w:evenVBand="0" w:oddHBand="1" w:evenHBand="0" w:firstRowFirstColumn="0" w:firstRowLastColumn="0" w:lastRowFirstColumn="0" w:lastRowLastColumn="0"/>
            </w:pPr>
          </w:p>
        </w:tc>
        <w:tc>
          <w:tcPr>
            <w:tcW w:w="4770" w:type="dxa"/>
          </w:tcPr>
          <w:p w14:paraId="7A094572" w14:textId="053FF6DD" w:rsidR="00761A0F" w:rsidRPr="00D61CDB" w:rsidRDefault="00761A0F" w:rsidP="00D61CDB">
            <w:pPr>
              <w:pStyle w:val="EABGraphicTableText"/>
              <w:cnfStyle w:val="000000100000" w:firstRow="0" w:lastRow="0" w:firstColumn="0" w:lastColumn="0" w:oddVBand="0" w:evenVBand="0" w:oddHBand="1" w:evenHBand="0" w:firstRowFirstColumn="0" w:firstRowLastColumn="0" w:lastRowFirstColumn="0" w:lastRowLastColumn="0"/>
            </w:pPr>
            <w:r w:rsidRPr="00D61CDB">
              <w:t>This course will provide campus with an overview of key strategic, financial topics. Because this course is being held halfway through the fiscal year, it's an opportune time for a mid-year financial check-in to review performance and set guidance for the upcoming budget process.</w:t>
            </w:r>
          </w:p>
        </w:tc>
      </w:tr>
      <w:tr w:rsidR="00761A0F" w14:paraId="26251475" w14:textId="77777777" w:rsidTr="008728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9E4617E" w14:textId="644B5FCC" w:rsidR="00761A0F" w:rsidRPr="009534EF" w:rsidRDefault="00761A0F" w:rsidP="009534EF">
            <w:pPr>
              <w:pStyle w:val="EABTableRowHeader"/>
            </w:pPr>
            <w:r w:rsidRPr="009534EF">
              <w:t>Revenue Generation Opportunities</w:t>
            </w:r>
          </w:p>
        </w:tc>
        <w:tc>
          <w:tcPr>
            <w:tcW w:w="1890" w:type="dxa"/>
          </w:tcPr>
          <w:p w14:paraId="397CDD30" w14:textId="658B7E30" w:rsidR="00761A0F" w:rsidRPr="009534EF" w:rsidRDefault="00761A0F" w:rsidP="009534EF">
            <w:pPr>
              <w:pStyle w:val="EABGraphicTableText"/>
              <w:cnfStyle w:val="000000010000" w:firstRow="0" w:lastRow="0" w:firstColumn="0" w:lastColumn="0" w:oddVBand="0" w:evenVBand="0" w:oddHBand="0" w:evenHBand="1" w:firstRowFirstColumn="0" w:firstRowLastColumn="0" w:lastRowFirstColumn="0" w:lastRowLastColumn="0"/>
            </w:pPr>
            <w:r w:rsidRPr="009534EF">
              <w:t>Tuesday, January 30, 2018</w:t>
            </w:r>
          </w:p>
        </w:tc>
        <w:tc>
          <w:tcPr>
            <w:tcW w:w="4770" w:type="dxa"/>
          </w:tcPr>
          <w:p w14:paraId="063E600B" w14:textId="5C0D4B01" w:rsidR="00761A0F" w:rsidRPr="009534EF" w:rsidRDefault="00761A0F" w:rsidP="009534EF">
            <w:pPr>
              <w:pStyle w:val="EABGraphicTableText"/>
              <w:cnfStyle w:val="000000010000" w:firstRow="0" w:lastRow="0" w:firstColumn="0" w:lastColumn="0" w:oddVBand="0" w:evenVBand="0" w:oddHBand="0" w:evenHBand="1" w:firstRowFirstColumn="0" w:firstRowLastColumn="0" w:lastRowFirstColumn="0" w:lastRowLastColumn="0"/>
            </w:pPr>
            <w:r w:rsidRPr="009534EF">
              <w:t xml:space="preserve">This course will provide campus with an overview of modeling revenue generation ideas. </w:t>
            </w:r>
            <w:proofErr w:type="gramStart"/>
            <w:r w:rsidRPr="009534EF">
              <w:t>In particular, this</w:t>
            </w:r>
            <w:proofErr w:type="gramEnd"/>
            <w:r w:rsidRPr="009534EF">
              <w:t xml:space="preserve"> training will cover factors to consider when thinking about revenue generation opportunities and guidance on how to frame your project or idea.</w:t>
            </w:r>
          </w:p>
        </w:tc>
      </w:tr>
      <w:tr w:rsidR="00761A0F" w14:paraId="2B696B3F" w14:textId="77777777" w:rsidTr="008728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15073C4" w14:textId="73CE3C8B" w:rsidR="00761A0F" w:rsidRPr="009534EF" w:rsidRDefault="00761A0F" w:rsidP="009534EF">
            <w:pPr>
              <w:pStyle w:val="EABTableRowHeader"/>
            </w:pPr>
            <w:r w:rsidRPr="009534EF">
              <w:t>Revenue Generation Opportunities Labs</w:t>
            </w:r>
          </w:p>
        </w:tc>
        <w:tc>
          <w:tcPr>
            <w:tcW w:w="1890" w:type="dxa"/>
          </w:tcPr>
          <w:p w14:paraId="5675EB23" w14:textId="19E7144A" w:rsidR="00761A0F" w:rsidRPr="009534EF" w:rsidRDefault="00761A0F" w:rsidP="009534EF">
            <w:pPr>
              <w:pStyle w:val="EABGraphicTableText"/>
              <w:cnfStyle w:val="000000100000" w:firstRow="0" w:lastRow="0" w:firstColumn="0" w:lastColumn="0" w:oddVBand="0" w:evenVBand="0" w:oddHBand="1" w:evenHBand="0" w:firstRowFirstColumn="0" w:firstRowLastColumn="0" w:lastRowFirstColumn="0" w:lastRowLastColumn="0"/>
            </w:pPr>
            <w:r w:rsidRPr="009534EF">
              <w:t>Wednesday, February 7, 2018</w:t>
            </w:r>
          </w:p>
        </w:tc>
        <w:tc>
          <w:tcPr>
            <w:tcW w:w="4770" w:type="dxa"/>
          </w:tcPr>
          <w:p w14:paraId="04CA7BC1" w14:textId="6EAB3283" w:rsidR="00761A0F" w:rsidRPr="009534EF" w:rsidRDefault="00761A0F" w:rsidP="009534EF">
            <w:pPr>
              <w:pStyle w:val="EABGraphicTableText"/>
              <w:cnfStyle w:val="000000100000" w:firstRow="0" w:lastRow="0" w:firstColumn="0" w:lastColumn="0" w:oddVBand="0" w:evenVBand="0" w:oddHBand="1" w:evenHBand="0" w:firstRowFirstColumn="0" w:firstRowLastColumn="0" w:lastRowFirstColumn="0" w:lastRowLastColumn="0"/>
            </w:pPr>
            <w:r w:rsidRPr="009534EF">
              <w:t xml:space="preserve">Labs are meant to complement the Finance Literacy courses, providing a deeper, more technical level of training and discussion. In this case, we are offering </w:t>
            </w:r>
            <w:proofErr w:type="gramStart"/>
            <w:r w:rsidRPr="009534EF">
              <w:t>30 minute</w:t>
            </w:r>
            <w:proofErr w:type="gramEnd"/>
            <w:r w:rsidRPr="009534EF">
              <w:t xml:space="preserve"> one-on-one’s with our presenter Scott Shireman.</w:t>
            </w:r>
          </w:p>
        </w:tc>
      </w:tr>
      <w:tr w:rsidR="00761A0F" w14:paraId="0B247749" w14:textId="77777777" w:rsidTr="008728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6BFF636" w14:textId="407E39B5" w:rsidR="00761A0F" w:rsidRPr="009534EF" w:rsidRDefault="00761A0F" w:rsidP="009534EF">
            <w:pPr>
              <w:pStyle w:val="EABTableRowHeader"/>
            </w:pPr>
            <w:r w:rsidRPr="009534EF">
              <w:t>TAS and Our Mission</w:t>
            </w:r>
          </w:p>
        </w:tc>
        <w:tc>
          <w:tcPr>
            <w:tcW w:w="1890" w:type="dxa"/>
          </w:tcPr>
          <w:p w14:paraId="0D553443" w14:textId="6F205CCB" w:rsidR="00761A0F" w:rsidRPr="009534EF" w:rsidRDefault="00761A0F" w:rsidP="009534EF">
            <w:pPr>
              <w:pStyle w:val="EABGraphicTableText"/>
              <w:cnfStyle w:val="000000010000" w:firstRow="0" w:lastRow="0" w:firstColumn="0" w:lastColumn="0" w:oddVBand="0" w:evenVBand="0" w:oddHBand="0" w:evenHBand="1" w:firstRowFirstColumn="0" w:firstRowLastColumn="0" w:lastRowFirstColumn="0" w:lastRowLastColumn="0"/>
            </w:pPr>
            <w:r w:rsidRPr="009534EF">
              <w:t>Friday, March 16, 2018</w:t>
            </w:r>
          </w:p>
        </w:tc>
        <w:tc>
          <w:tcPr>
            <w:tcW w:w="4770" w:type="dxa"/>
          </w:tcPr>
          <w:p w14:paraId="18C29C20" w14:textId="693F22F4" w:rsidR="00761A0F" w:rsidRPr="009534EF" w:rsidRDefault="00761A0F" w:rsidP="009534EF">
            <w:pPr>
              <w:pStyle w:val="EABGraphicTableText"/>
              <w:cnfStyle w:val="000000010000" w:firstRow="0" w:lastRow="0" w:firstColumn="0" w:lastColumn="0" w:oddVBand="0" w:evenVBand="0" w:oddHBand="0" w:evenHBand="1" w:firstRowFirstColumn="0" w:firstRowLastColumn="0" w:lastRowFirstColumn="0" w:lastRowLastColumn="0"/>
            </w:pPr>
            <w:r w:rsidRPr="009534EF">
              <w:t>This course will provide an overview of TAS, its key concepts, values, and allocation methodology.</w:t>
            </w:r>
          </w:p>
        </w:tc>
      </w:tr>
      <w:tr w:rsidR="00761A0F" w14:paraId="2F12901D" w14:textId="77777777" w:rsidTr="008728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F9BEB49" w14:textId="6BD8D6EB" w:rsidR="00761A0F" w:rsidRPr="009534EF" w:rsidRDefault="00761A0F" w:rsidP="009534EF">
            <w:pPr>
              <w:pStyle w:val="EABTableRowHeader"/>
            </w:pPr>
            <w:r w:rsidRPr="009534EF">
              <w:t>Raising Awareness on Fundraising</w:t>
            </w:r>
          </w:p>
        </w:tc>
        <w:tc>
          <w:tcPr>
            <w:tcW w:w="1890" w:type="dxa"/>
          </w:tcPr>
          <w:p w14:paraId="6B9E0817" w14:textId="4F8DA451" w:rsidR="00761A0F" w:rsidRPr="009534EF" w:rsidRDefault="00761A0F" w:rsidP="009534EF">
            <w:pPr>
              <w:pStyle w:val="EABGraphicTableText"/>
              <w:cnfStyle w:val="000000100000" w:firstRow="0" w:lastRow="0" w:firstColumn="0" w:lastColumn="0" w:oddVBand="0" w:evenVBand="0" w:oddHBand="1" w:evenHBand="0" w:firstRowFirstColumn="0" w:firstRowLastColumn="0" w:lastRowFirstColumn="0" w:lastRowLastColumn="0"/>
            </w:pPr>
            <w:r w:rsidRPr="009534EF">
              <w:t>Wednesday, March 21, 2018</w:t>
            </w:r>
          </w:p>
        </w:tc>
        <w:tc>
          <w:tcPr>
            <w:tcW w:w="4770" w:type="dxa"/>
          </w:tcPr>
          <w:p w14:paraId="28A93984" w14:textId="25D558AE" w:rsidR="00761A0F" w:rsidRPr="009534EF" w:rsidRDefault="00761A0F" w:rsidP="009534EF">
            <w:pPr>
              <w:pStyle w:val="EABGraphicTableText"/>
              <w:cnfStyle w:val="000000100000" w:firstRow="0" w:lastRow="0" w:firstColumn="0" w:lastColumn="0" w:oddVBand="0" w:evenVBand="0" w:oddHBand="1" w:evenHBand="0" w:firstRowFirstColumn="0" w:firstRowLastColumn="0" w:lastRowFirstColumn="0" w:lastRowLastColumn="0"/>
            </w:pPr>
            <w:r w:rsidRPr="009534EF">
              <w:t>The learning objectives for this course include (1) an overview of Berkeley's fundraising organization including the hybrid centralized/decentralized model (2) discussion around Regents vs Foundation gifts and it's unique accounting (3) guidance around policies, payouts, restrictions and new minima standards (4) best practices on reporting (</w:t>
            </w:r>
            <w:proofErr w:type="spellStart"/>
            <w:r w:rsidRPr="009534EF">
              <w:t>CalAnswers</w:t>
            </w:r>
            <w:proofErr w:type="spellEnd"/>
            <w:r w:rsidRPr="009534EF">
              <w:t>) and working with Donor and Gift Services.</w:t>
            </w:r>
          </w:p>
        </w:tc>
      </w:tr>
      <w:tr w:rsidR="00761A0F" w14:paraId="46C1FC77" w14:textId="77777777" w:rsidTr="008728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53A9032" w14:textId="7CBD113B" w:rsidR="00761A0F" w:rsidRPr="009534EF" w:rsidRDefault="00761A0F" w:rsidP="009534EF">
            <w:pPr>
              <w:pStyle w:val="EABTableRowHeader"/>
            </w:pPr>
            <w:r w:rsidRPr="009534EF">
              <w:t>TAS and Our Mission Labs</w:t>
            </w:r>
          </w:p>
        </w:tc>
        <w:tc>
          <w:tcPr>
            <w:tcW w:w="1890" w:type="dxa"/>
          </w:tcPr>
          <w:p w14:paraId="02BA8E15" w14:textId="167DF425" w:rsidR="00761A0F" w:rsidRDefault="00761A0F" w:rsidP="009534EF">
            <w:pPr>
              <w:pStyle w:val="EABGraphicTableText"/>
              <w:cnfStyle w:val="000000010000" w:firstRow="0" w:lastRow="0" w:firstColumn="0" w:lastColumn="0" w:oddVBand="0" w:evenVBand="0" w:oddHBand="0" w:evenHBand="1" w:firstRowFirstColumn="0" w:firstRowLastColumn="0" w:lastRowFirstColumn="0" w:lastRowLastColumn="0"/>
            </w:pPr>
            <w:r w:rsidRPr="009534EF">
              <w:t>Friday, March 23, 2018</w:t>
            </w:r>
          </w:p>
        </w:tc>
        <w:tc>
          <w:tcPr>
            <w:tcW w:w="4770" w:type="dxa"/>
          </w:tcPr>
          <w:p w14:paraId="49E96CC8" w14:textId="606807B6" w:rsidR="00761A0F" w:rsidRPr="009534EF" w:rsidRDefault="00761A0F" w:rsidP="009534EF">
            <w:pPr>
              <w:pStyle w:val="EABGraphicTableText"/>
              <w:cnfStyle w:val="000000010000" w:firstRow="0" w:lastRow="0" w:firstColumn="0" w:lastColumn="0" w:oddVBand="0" w:evenVBand="0" w:oddHBand="0" w:evenHBand="1" w:firstRowFirstColumn="0" w:firstRowLastColumn="0" w:lastRowFirstColumn="0" w:lastRowLastColumn="0"/>
            </w:pPr>
            <w:r w:rsidRPr="009534EF">
              <w:t>Labs are meant to complement the Finance Literacy courses, providing a deeper, more technical level of training and discussion. In this case, we are offering an hour Q&amp;A with our presenters Jon Bain-</w:t>
            </w:r>
            <w:proofErr w:type="spellStart"/>
            <w:r w:rsidRPr="009534EF">
              <w:t>Chekal</w:t>
            </w:r>
            <w:proofErr w:type="spellEnd"/>
            <w:r w:rsidRPr="009534EF">
              <w:t xml:space="preserve">, Kira Blaisdell-Sloan, and Maya Woodson </w:t>
            </w:r>
            <w:proofErr w:type="spellStart"/>
            <w:r w:rsidRPr="009534EF">
              <w:t>Turman</w:t>
            </w:r>
            <w:proofErr w:type="spellEnd"/>
            <w:r w:rsidRPr="009534EF">
              <w:t>.</w:t>
            </w:r>
          </w:p>
        </w:tc>
      </w:tr>
      <w:tr w:rsidR="00761A0F" w14:paraId="29FEA52E" w14:textId="77777777" w:rsidTr="008728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72076B8D" w14:textId="5334C5AC" w:rsidR="00761A0F" w:rsidRPr="009534EF" w:rsidRDefault="00761A0F" w:rsidP="009534EF">
            <w:pPr>
              <w:pStyle w:val="EABTableRowHeader"/>
            </w:pPr>
            <w:r w:rsidRPr="009534EF">
              <w:t>Raising Awareness on Fundraising Lab</w:t>
            </w:r>
          </w:p>
        </w:tc>
        <w:tc>
          <w:tcPr>
            <w:tcW w:w="1890" w:type="dxa"/>
          </w:tcPr>
          <w:p w14:paraId="21B5E72D" w14:textId="2511B2A1" w:rsidR="00761A0F" w:rsidRDefault="00761A0F" w:rsidP="009534EF">
            <w:pPr>
              <w:pStyle w:val="EABGraphicTableText"/>
              <w:cnfStyle w:val="000000100000" w:firstRow="0" w:lastRow="0" w:firstColumn="0" w:lastColumn="0" w:oddVBand="0" w:evenVBand="0" w:oddHBand="1" w:evenHBand="0" w:firstRowFirstColumn="0" w:firstRowLastColumn="0" w:lastRowFirstColumn="0" w:lastRowLastColumn="0"/>
            </w:pPr>
            <w:r w:rsidRPr="009534EF">
              <w:t>Wednesday, March 28, 2018</w:t>
            </w:r>
          </w:p>
        </w:tc>
        <w:tc>
          <w:tcPr>
            <w:tcW w:w="4770" w:type="dxa"/>
          </w:tcPr>
          <w:p w14:paraId="5A727300" w14:textId="7B146CAA" w:rsidR="00761A0F" w:rsidRPr="009534EF" w:rsidRDefault="00761A0F" w:rsidP="009534EF">
            <w:pPr>
              <w:pStyle w:val="EABGraphicTableText"/>
              <w:cnfStyle w:val="000000100000" w:firstRow="0" w:lastRow="0" w:firstColumn="0" w:lastColumn="0" w:oddVBand="0" w:evenVBand="0" w:oddHBand="1" w:evenHBand="0" w:firstRowFirstColumn="0" w:firstRowLastColumn="0" w:lastRowFirstColumn="0" w:lastRowLastColumn="0"/>
            </w:pPr>
            <w:r w:rsidRPr="009534EF">
              <w:t xml:space="preserve">We are offering </w:t>
            </w:r>
            <w:proofErr w:type="gramStart"/>
            <w:r w:rsidRPr="009534EF">
              <w:t>30 minute</w:t>
            </w:r>
            <w:proofErr w:type="gramEnd"/>
            <w:r w:rsidRPr="009534EF">
              <w:t>, one-on-one’s with our presenters Director of Fund Management Ali De Gros and Director of Gift Services Matthew Weaver.</w:t>
            </w:r>
          </w:p>
        </w:tc>
      </w:tr>
      <w:tr w:rsidR="00761A0F" w14:paraId="7905FC29" w14:textId="77777777" w:rsidTr="008728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941C03D" w14:textId="6C3149A9" w:rsidR="00761A0F" w:rsidRPr="009534EF" w:rsidRDefault="00761A0F" w:rsidP="009534EF">
            <w:pPr>
              <w:pStyle w:val="EABTableRowHeader"/>
            </w:pPr>
            <w:r w:rsidRPr="009534EF">
              <w:lastRenderedPageBreak/>
              <w:t>Building Blocks of Capital Projects</w:t>
            </w:r>
          </w:p>
        </w:tc>
        <w:tc>
          <w:tcPr>
            <w:tcW w:w="1890" w:type="dxa"/>
          </w:tcPr>
          <w:p w14:paraId="1A78C7D1" w14:textId="450917C6" w:rsidR="00761A0F" w:rsidRDefault="00761A0F" w:rsidP="009534EF">
            <w:pPr>
              <w:pStyle w:val="EABGraphicTableText"/>
              <w:cnfStyle w:val="000000010000" w:firstRow="0" w:lastRow="0" w:firstColumn="0" w:lastColumn="0" w:oddVBand="0" w:evenVBand="0" w:oddHBand="0" w:evenHBand="1" w:firstRowFirstColumn="0" w:firstRowLastColumn="0" w:lastRowFirstColumn="0" w:lastRowLastColumn="0"/>
            </w:pPr>
            <w:r w:rsidRPr="009534EF">
              <w:t>Tuesday, April 24, 2018</w:t>
            </w:r>
          </w:p>
        </w:tc>
        <w:tc>
          <w:tcPr>
            <w:tcW w:w="4770" w:type="dxa"/>
          </w:tcPr>
          <w:p w14:paraId="269666BB" w14:textId="6D8237FF" w:rsidR="00761A0F" w:rsidRPr="009534EF" w:rsidRDefault="00761A0F" w:rsidP="009534EF">
            <w:pPr>
              <w:pStyle w:val="EABGraphicTableText"/>
              <w:cnfStyle w:val="000000010000" w:firstRow="0" w:lastRow="0" w:firstColumn="0" w:lastColumn="0" w:oddVBand="0" w:evenVBand="0" w:oddHBand="0" w:evenHBand="1" w:firstRowFirstColumn="0" w:firstRowLastColumn="0" w:lastRowFirstColumn="0" w:lastRowLastColumn="0"/>
            </w:pPr>
            <w:r w:rsidRPr="009534EF">
              <w:t xml:space="preserve">The class will provide an overview of Capital Projects concepts and methodology, including how the capital projects process currently works and examples of successful case studies. At the session you’ll learn from experts in the field, including Director of Capital Planning Judy Chess, Director of Finance and Capital Asset Strategies </w:t>
            </w:r>
            <w:proofErr w:type="spellStart"/>
            <w:r w:rsidRPr="009534EF">
              <w:t>Adile</w:t>
            </w:r>
            <w:proofErr w:type="spellEnd"/>
            <w:r w:rsidRPr="009534EF">
              <w:t xml:space="preserve"> </w:t>
            </w:r>
            <w:proofErr w:type="spellStart"/>
            <w:r w:rsidRPr="009534EF">
              <w:t>Quennarouch</w:t>
            </w:r>
            <w:proofErr w:type="spellEnd"/>
            <w:r w:rsidRPr="009534EF">
              <w:t xml:space="preserve">, and Director of Financial Accounting and Controls Lisa </w:t>
            </w:r>
            <w:proofErr w:type="spellStart"/>
            <w:r w:rsidRPr="009534EF">
              <w:t>Vanderfin</w:t>
            </w:r>
            <w:proofErr w:type="spellEnd"/>
            <w:r w:rsidRPr="009534EF">
              <w:t>.</w:t>
            </w:r>
          </w:p>
        </w:tc>
        <w:bookmarkStart w:id="1" w:name="_GoBack"/>
        <w:bookmarkEnd w:id="1"/>
      </w:tr>
      <w:tr w:rsidR="00761A0F" w14:paraId="17A0705D" w14:textId="77777777" w:rsidTr="008728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689A80E" w14:textId="5142D701" w:rsidR="00761A0F" w:rsidRDefault="00761A0F" w:rsidP="009534EF">
            <w:pPr>
              <w:pStyle w:val="EABTableRowHeader"/>
            </w:pPr>
            <w:r w:rsidRPr="009534EF">
              <w:t>Navigating SSGPDPs and PDSTs</w:t>
            </w:r>
          </w:p>
        </w:tc>
        <w:tc>
          <w:tcPr>
            <w:tcW w:w="1890" w:type="dxa"/>
          </w:tcPr>
          <w:p w14:paraId="55D42689" w14:textId="2E3CBD98" w:rsidR="00761A0F" w:rsidRDefault="00761A0F" w:rsidP="009534EF">
            <w:pPr>
              <w:pStyle w:val="EABGraphicTableText"/>
              <w:cnfStyle w:val="000000100000" w:firstRow="0" w:lastRow="0" w:firstColumn="0" w:lastColumn="0" w:oddVBand="0" w:evenVBand="0" w:oddHBand="1" w:evenHBand="0" w:firstRowFirstColumn="0" w:firstRowLastColumn="0" w:lastRowFirstColumn="0" w:lastRowLastColumn="0"/>
            </w:pPr>
            <w:r w:rsidRPr="009534EF">
              <w:t>Thursday, June 14, 2018</w:t>
            </w:r>
          </w:p>
        </w:tc>
        <w:tc>
          <w:tcPr>
            <w:tcW w:w="4770" w:type="dxa"/>
          </w:tcPr>
          <w:p w14:paraId="5A00F946" w14:textId="5FA7E671" w:rsidR="00761A0F" w:rsidRDefault="00761A0F" w:rsidP="009534EF">
            <w:pPr>
              <w:pStyle w:val="EABGraphicTableText"/>
              <w:cnfStyle w:val="000000100000" w:firstRow="0" w:lastRow="0" w:firstColumn="0" w:lastColumn="0" w:oddVBand="0" w:evenVBand="0" w:oddHBand="1" w:evenHBand="0" w:firstRowFirstColumn="0" w:firstRowLastColumn="0" w:lastRowFirstColumn="0" w:lastRowLastColumn="0"/>
            </w:pPr>
            <w:r w:rsidRPr="009534EF">
              <w:t>The course will provide an overview of Self-Supporting Graduate Professional Degree Programs (SSGPDPs) and Professional Degree Supplemental Tuition (PDST) programs. Topics include the proposal development process and timeline of key milestones and deadlines; why market research is important during the discovery phase; an overview of the SSGPDP campus financial pro forma template; and the annual fee approval process. The course will be taught by Campus Finance Lead for Student Fees Hugh Graham, Institutional Research Analyst Noam Manor, Chief Operating Officer of University Extension Scott Shireman, and Assistant Dean for Academic Affairs Linda Song.</w:t>
            </w:r>
          </w:p>
        </w:tc>
      </w:tr>
    </w:tbl>
    <w:p w14:paraId="44C1CE44" w14:textId="429411B3" w:rsidR="009534EF" w:rsidRPr="009534EF" w:rsidRDefault="009534EF" w:rsidP="009644BD">
      <w:pPr>
        <w:pStyle w:val="BodyText"/>
        <w:ind w:left="0"/>
      </w:pPr>
    </w:p>
    <w:sectPr w:rsidR="009534EF" w:rsidRPr="009534EF" w:rsidSect="00300756">
      <w:footerReference w:type="default" r:id="rId8"/>
      <w:type w:val="continuous"/>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E5568" w14:textId="77777777" w:rsidR="00610692" w:rsidRDefault="00610692" w:rsidP="009E51C7">
      <w:r>
        <w:separator/>
      </w:r>
    </w:p>
    <w:p w14:paraId="04CF5964" w14:textId="77777777" w:rsidR="00610692" w:rsidRDefault="00610692"/>
  </w:endnote>
  <w:endnote w:type="continuationSeparator" w:id="0">
    <w:p w14:paraId="52EFA1EC" w14:textId="77777777" w:rsidR="00610692" w:rsidRDefault="00610692" w:rsidP="009E51C7">
      <w:r>
        <w:continuationSeparator/>
      </w:r>
    </w:p>
    <w:p w14:paraId="4E23AE6E" w14:textId="77777777" w:rsidR="00610692" w:rsidRDefault="00610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38EEF" w14:textId="77777777" w:rsidR="009F4310" w:rsidRPr="004C407F" w:rsidRDefault="00BD29DF" w:rsidP="005E7E60">
    <w:pPr>
      <w:pStyle w:val="Footer"/>
      <w:tabs>
        <w:tab w:val="clear" w:pos="4680"/>
        <w:tab w:val="clear" w:pos="9360"/>
      </w:tabs>
      <w:spacing w:before="160"/>
      <w:rPr>
        <w:sz w:val="11"/>
        <w:szCs w:val="11"/>
      </w:rPr>
    </w:pPr>
    <w:r>
      <w:rPr>
        <w:color w:val="auto"/>
        <w:sz w:val="11"/>
        <w:szCs w:val="11"/>
      </w:rPr>
      <w:t xml:space="preserve">©2018 by EAB. All Rights Reserved. </w:t>
    </w:r>
    <w:r w:rsidR="005E7E60">
      <w:rPr>
        <w:sz w:val="11"/>
        <w:szCs w:val="11"/>
      </w:rPr>
      <w:ptab w:relativeTo="margin" w:alignment="center" w:leader="none"/>
    </w:r>
    <w:r w:rsidR="007A090A" w:rsidRPr="007A090A">
      <w:rPr>
        <w:sz w:val="17"/>
        <w:szCs w:val="17"/>
      </w:rPr>
      <w:fldChar w:fldCharType="begin"/>
    </w:r>
    <w:r w:rsidR="007A090A" w:rsidRPr="007A090A">
      <w:rPr>
        <w:sz w:val="17"/>
        <w:szCs w:val="17"/>
      </w:rPr>
      <w:instrText xml:space="preserve"> PAGE   \* MERGEFORMAT </w:instrText>
    </w:r>
    <w:r w:rsidR="007A090A" w:rsidRPr="007A090A">
      <w:rPr>
        <w:sz w:val="17"/>
        <w:szCs w:val="17"/>
      </w:rPr>
      <w:fldChar w:fldCharType="separate"/>
    </w:r>
    <w:r>
      <w:rPr>
        <w:noProof/>
        <w:sz w:val="17"/>
        <w:szCs w:val="17"/>
      </w:rPr>
      <w:t>9</w:t>
    </w:r>
    <w:r w:rsidR="007A090A" w:rsidRPr="007A090A">
      <w:rPr>
        <w:noProof/>
        <w:sz w:val="17"/>
        <w:szCs w:val="17"/>
      </w:rPr>
      <w:fldChar w:fldCharType="end"/>
    </w:r>
    <w:r w:rsidR="005E7E60" w:rsidRPr="005E7E60">
      <w:rPr>
        <w:noProof/>
        <w:sz w:val="11"/>
        <w:szCs w:val="11"/>
      </w:rPr>
      <w:ptab w:relativeTo="margin" w:alignment="right" w:leader="none"/>
    </w:r>
    <w:hyperlink r:id="rId1" w:history="1">
      <w:r w:rsidR="007A090A"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C8C05" w14:textId="77777777" w:rsidR="00610692" w:rsidRPr="00791772" w:rsidRDefault="00610692" w:rsidP="00791772">
      <w:pPr>
        <w:pStyle w:val="Footer"/>
        <w:rPr>
          <w:sz w:val="10"/>
          <w:szCs w:val="10"/>
        </w:rPr>
      </w:pPr>
    </w:p>
  </w:footnote>
  <w:footnote w:type="continuationSeparator" w:id="0">
    <w:p w14:paraId="4483023C" w14:textId="77777777" w:rsidR="00610692" w:rsidRDefault="00610692" w:rsidP="009E51C7">
      <w:r>
        <w:continuationSeparator/>
      </w:r>
    </w:p>
    <w:p w14:paraId="70F984F8" w14:textId="77777777" w:rsidR="00610692" w:rsidRDefault="006106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1E2DEC"/>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5"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D4470"/>
    <w:multiLevelType w:val="multilevel"/>
    <w:tmpl w:val="E73A4AB2"/>
    <w:lvl w:ilvl="0">
      <w:start w:val="1"/>
      <w:numFmt w:val="decimal"/>
      <w:pStyle w:val="ListNumber"/>
      <w:lvlText w:val="%1."/>
      <w:lvlJc w:val="left"/>
      <w:pPr>
        <w:ind w:left="1267" w:hanging="360"/>
      </w:pPr>
      <w:rPr>
        <w:rFonts w:hint="default"/>
        <w:sz w:val="18"/>
      </w:rPr>
    </w:lvl>
    <w:lvl w:ilvl="1">
      <w:start w:val="1"/>
      <w:numFmt w:val="lowerLetter"/>
      <w:lvlText w:val="%2."/>
      <w:lvlJc w:val="left"/>
      <w:pPr>
        <w:ind w:left="1641" w:hanging="360"/>
      </w:pPr>
      <w:rPr>
        <w:rFonts w:hint="default"/>
      </w:rPr>
    </w:lvl>
    <w:lvl w:ilvl="2">
      <w:start w:val="1"/>
      <w:numFmt w:val="lowerRoman"/>
      <w:lvlText w:val="%3."/>
      <w:lvlJc w:val="left"/>
      <w:pPr>
        <w:tabs>
          <w:tab w:val="num" w:pos="3427"/>
        </w:tabs>
        <w:ind w:left="2015" w:hanging="360"/>
      </w:pPr>
      <w:rPr>
        <w:rFonts w:hint="default"/>
      </w:rPr>
    </w:lvl>
    <w:lvl w:ilvl="3">
      <w:start w:val="1"/>
      <w:numFmt w:val="upperLetter"/>
      <w:lvlText w:val="%4."/>
      <w:lvlJc w:val="left"/>
      <w:pPr>
        <w:tabs>
          <w:tab w:val="num" w:pos="3787"/>
        </w:tabs>
        <w:ind w:left="2389" w:hanging="360"/>
      </w:pPr>
      <w:rPr>
        <w:rFonts w:hint="default"/>
      </w:rPr>
    </w:lvl>
    <w:lvl w:ilvl="4">
      <w:start w:val="1"/>
      <w:numFmt w:val="bullet"/>
      <w:lvlText w:val="•"/>
      <w:lvlJc w:val="left"/>
      <w:pPr>
        <w:ind w:left="2763" w:hanging="360"/>
      </w:pPr>
      <w:rPr>
        <w:rFonts w:ascii="Arial" w:hAnsi="Arial" w:hint="default"/>
      </w:rPr>
    </w:lvl>
    <w:lvl w:ilvl="5">
      <w:start w:val="1"/>
      <w:numFmt w:val="bullet"/>
      <w:lvlText w:val="–"/>
      <w:lvlJc w:val="left"/>
      <w:pPr>
        <w:ind w:left="3137" w:hanging="360"/>
      </w:pPr>
      <w:rPr>
        <w:rFonts w:ascii="Verdana" w:hAnsi="Verdana" w:hint="default"/>
      </w:rPr>
    </w:lvl>
    <w:lvl w:ilvl="6">
      <w:start w:val="1"/>
      <w:numFmt w:val="bullet"/>
      <w:lvlText w:val="•"/>
      <w:lvlJc w:val="left"/>
      <w:pPr>
        <w:ind w:left="3511" w:hanging="360"/>
      </w:pPr>
      <w:rPr>
        <w:rFonts w:ascii="Arial" w:hAnsi="Arial" w:hint="default"/>
      </w:rPr>
    </w:lvl>
    <w:lvl w:ilvl="7">
      <w:start w:val="1"/>
      <w:numFmt w:val="bullet"/>
      <w:lvlText w:val="–"/>
      <w:lvlJc w:val="left"/>
      <w:pPr>
        <w:ind w:left="3885" w:hanging="360"/>
      </w:pPr>
      <w:rPr>
        <w:rFonts w:ascii="Verdana" w:hAnsi="Verdana" w:hint="default"/>
      </w:rPr>
    </w:lvl>
    <w:lvl w:ilvl="8">
      <w:start w:val="1"/>
      <w:numFmt w:val="bullet"/>
      <w:lvlText w:val="•"/>
      <w:lvlJc w:val="left"/>
      <w:pPr>
        <w:ind w:left="4259" w:hanging="360"/>
      </w:pPr>
      <w:rPr>
        <w:rFonts w:ascii="Arial" w:hAnsi="Arial" w:hint="default"/>
      </w:rPr>
    </w:lvl>
  </w:abstractNum>
  <w:abstractNum w:abstractNumId="7" w15:restartNumberingAfterBreak="0">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F4776D"/>
    <w:multiLevelType w:val="multilevel"/>
    <w:tmpl w:val="4E604E34"/>
    <w:lvl w:ilvl="0">
      <w:start w:val="1"/>
      <w:numFmt w:val="bullet"/>
      <w:pStyle w:val="ListBullet"/>
      <w:lvlText w:val="•"/>
      <w:lvlJc w:val="left"/>
      <w:pPr>
        <w:ind w:left="1094" w:hanging="187"/>
      </w:pPr>
      <w:rPr>
        <w:rFonts w:ascii="Arial" w:hAnsi="Arial" w:hint="default"/>
        <w:sz w:val="18"/>
      </w:rPr>
    </w:lvl>
    <w:lvl w:ilvl="1">
      <w:start w:val="1"/>
      <w:numFmt w:val="bullet"/>
      <w:lvlText w:val="–"/>
      <w:lvlJc w:val="left"/>
      <w:pPr>
        <w:ind w:left="1281" w:hanging="187"/>
      </w:pPr>
      <w:rPr>
        <w:rFonts w:ascii="Arial" w:hAnsi="Arial" w:hint="default"/>
      </w:rPr>
    </w:lvl>
    <w:lvl w:ilvl="2">
      <w:start w:val="1"/>
      <w:numFmt w:val="bullet"/>
      <w:lvlText w:val="•"/>
      <w:lvlJc w:val="left"/>
      <w:pPr>
        <w:ind w:left="1468" w:hanging="187"/>
      </w:pPr>
      <w:rPr>
        <w:rFonts w:ascii="Arial" w:hAnsi="Arial" w:hint="default"/>
      </w:rPr>
    </w:lvl>
    <w:lvl w:ilvl="3">
      <w:start w:val="1"/>
      <w:numFmt w:val="bullet"/>
      <w:lvlText w:val="–"/>
      <w:lvlJc w:val="left"/>
      <w:pPr>
        <w:ind w:left="1655" w:hanging="187"/>
      </w:pPr>
      <w:rPr>
        <w:rFonts w:ascii="Verdana" w:hAnsi="Verdana" w:hint="default"/>
      </w:rPr>
    </w:lvl>
    <w:lvl w:ilvl="4">
      <w:start w:val="1"/>
      <w:numFmt w:val="bullet"/>
      <w:lvlText w:val="•"/>
      <w:lvlJc w:val="left"/>
      <w:pPr>
        <w:ind w:left="1842" w:hanging="187"/>
      </w:pPr>
      <w:rPr>
        <w:rFonts w:ascii="Arial" w:hAnsi="Arial" w:hint="default"/>
      </w:rPr>
    </w:lvl>
    <w:lvl w:ilvl="5">
      <w:start w:val="1"/>
      <w:numFmt w:val="bullet"/>
      <w:lvlText w:val="–"/>
      <w:lvlJc w:val="left"/>
      <w:pPr>
        <w:ind w:left="2029" w:hanging="187"/>
      </w:pPr>
      <w:rPr>
        <w:rFonts w:ascii="Verdana" w:hAnsi="Verdana" w:hint="default"/>
      </w:rPr>
    </w:lvl>
    <w:lvl w:ilvl="6">
      <w:start w:val="1"/>
      <w:numFmt w:val="bullet"/>
      <w:lvlText w:val="•"/>
      <w:lvlJc w:val="left"/>
      <w:pPr>
        <w:ind w:left="2216" w:hanging="187"/>
      </w:pPr>
      <w:rPr>
        <w:rFonts w:ascii="Arial" w:hAnsi="Arial" w:hint="default"/>
      </w:rPr>
    </w:lvl>
    <w:lvl w:ilvl="7">
      <w:start w:val="1"/>
      <w:numFmt w:val="bullet"/>
      <w:lvlText w:val="–"/>
      <w:lvlJc w:val="left"/>
      <w:pPr>
        <w:ind w:left="2403" w:hanging="187"/>
      </w:pPr>
      <w:rPr>
        <w:rFonts w:ascii="Verdana" w:hAnsi="Verdana" w:hint="default"/>
      </w:rPr>
    </w:lvl>
    <w:lvl w:ilvl="8">
      <w:start w:val="1"/>
      <w:numFmt w:val="bullet"/>
      <w:lvlText w:val="•"/>
      <w:lvlJc w:val="left"/>
      <w:pPr>
        <w:ind w:left="2590" w:hanging="187"/>
      </w:pPr>
      <w:rPr>
        <w:rFonts w:ascii="Arial" w:hAnsi="Arial" w:hint="default"/>
      </w:rPr>
    </w:lvl>
  </w:abstractNum>
  <w:abstractNum w:abstractNumId="9" w15:restartNumberingAfterBreak="0">
    <w:nsid w:val="450C0E71"/>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0063CD"/>
    <w:multiLevelType w:val="multilevel"/>
    <w:tmpl w:val="FA2C0762"/>
    <w:lvl w:ilvl="0">
      <w:start w:val="1"/>
      <w:numFmt w:val="bullet"/>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6A298F"/>
    <w:multiLevelType w:val="hybridMultilevel"/>
    <w:tmpl w:val="1A74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4"/>
  </w:num>
  <w:num w:numId="8">
    <w:abstractNumId w:val="1"/>
  </w:num>
  <w:num w:numId="9">
    <w:abstractNumId w:val="10"/>
  </w:num>
  <w:num w:numId="10">
    <w:abstractNumId w:val="11"/>
  </w:num>
  <w:num w:numId="11">
    <w:abstractNumId w:val="12"/>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80"/>
    <w:rsid w:val="00006F4C"/>
    <w:rsid w:val="00011D25"/>
    <w:rsid w:val="00025A84"/>
    <w:rsid w:val="0003039A"/>
    <w:rsid w:val="00030527"/>
    <w:rsid w:val="000465DC"/>
    <w:rsid w:val="0005052C"/>
    <w:rsid w:val="00067394"/>
    <w:rsid w:val="0008000B"/>
    <w:rsid w:val="000818CE"/>
    <w:rsid w:val="00097927"/>
    <w:rsid w:val="000A6311"/>
    <w:rsid w:val="000B4D98"/>
    <w:rsid w:val="000C13D3"/>
    <w:rsid w:val="000D0E0C"/>
    <w:rsid w:val="000F0F0C"/>
    <w:rsid w:val="000F48C6"/>
    <w:rsid w:val="001514C1"/>
    <w:rsid w:val="00163B5B"/>
    <w:rsid w:val="001822B2"/>
    <w:rsid w:val="00186A19"/>
    <w:rsid w:val="0019055E"/>
    <w:rsid w:val="001A742D"/>
    <w:rsid w:val="001B133E"/>
    <w:rsid w:val="001C226B"/>
    <w:rsid w:val="001D3D1F"/>
    <w:rsid w:val="001E6668"/>
    <w:rsid w:val="0020277E"/>
    <w:rsid w:val="00207B46"/>
    <w:rsid w:val="00220C74"/>
    <w:rsid w:val="00285119"/>
    <w:rsid w:val="0029158A"/>
    <w:rsid w:val="00292D7C"/>
    <w:rsid w:val="00296E9E"/>
    <w:rsid w:val="002A29A3"/>
    <w:rsid w:val="002A7880"/>
    <w:rsid w:val="002C0142"/>
    <w:rsid w:val="002C45D1"/>
    <w:rsid w:val="002E402A"/>
    <w:rsid w:val="002E56A7"/>
    <w:rsid w:val="00300756"/>
    <w:rsid w:val="00321CCE"/>
    <w:rsid w:val="00325571"/>
    <w:rsid w:val="00326CF4"/>
    <w:rsid w:val="00332775"/>
    <w:rsid w:val="00342301"/>
    <w:rsid w:val="00363B80"/>
    <w:rsid w:val="003E729F"/>
    <w:rsid w:val="003F2B35"/>
    <w:rsid w:val="00426B3E"/>
    <w:rsid w:val="004430AE"/>
    <w:rsid w:val="00452FBA"/>
    <w:rsid w:val="00456CB2"/>
    <w:rsid w:val="00460D34"/>
    <w:rsid w:val="00461DF1"/>
    <w:rsid w:val="0046734F"/>
    <w:rsid w:val="00475333"/>
    <w:rsid w:val="004A164F"/>
    <w:rsid w:val="004A167E"/>
    <w:rsid w:val="004B11FB"/>
    <w:rsid w:val="004C407F"/>
    <w:rsid w:val="004D1515"/>
    <w:rsid w:val="004D35E6"/>
    <w:rsid w:val="0051407E"/>
    <w:rsid w:val="00523343"/>
    <w:rsid w:val="00544589"/>
    <w:rsid w:val="00585ECA"/>
    <w:rsid w:val="005E7750"/>
    <w:rsid w:val="005E7E60"/>
    <w:rsid w:val="00600AFE"/>
    <w:rsid w:val="006067BA"/>
    <w:rsid w:val="00610692"/>
    <w:rsid w:val="00631143"/>
    <w:rsid w:val="00654FCE"/>
    <w:rsid w:val="00655F30"/>
    <w:rsid w:val="006832FE"/>
    <w:rsid w:val="00685627"/>
    <w:rsid w:val="0069220C"/>
    <w:rsid w:val="006B5327"/>
    <w:rsid w:val="006B55B8"/>
    <w:rsid w:val="006C7FE0"/>
    <w:rsid w:val="006D4AD8"/>
    <w:rsid w:val="00751D77"/>
    <w:rsid w:val="00752E1B"/>
    <w:rsid w:val="00756257"/>
    <w:rsid w:val="00761A0F"/>
    <w:rsid w:val="0077436F"/>
    <w:rsid w:val="00791772"/>
    <w:rsid w:val="007A090A"/>
    <w:rsid w:val="007A0D2F"/>
    <w:rsid w:val="007C5171"/>
    <w:rsid w:val="007D4D16"/>
    <w:rsid w:val="007E7B6A"/>
    <w:rsid w:val="00803999"/>
    <w:rsid w:val="0080522F"/>
    <w:rsid w:val="00805BB0"/>
    <w:rsid w:val="00860A0B"/>
    <w:rsid w:val="008637CA"/>
    <w:rsid w:val="0087286E"/>
    <w:rsid w:val="00875608"/>
    <w:rsid w:val="00890A66"/>
    <w:rsid w:val="008A311D"/>
    <w:rsid w:val="008A634B"/>
    <w:rsid w:val="008A6F5A"/>
    <w:rsid w:val="008D5ADF"/>
    <w:rsid w:val="008E11E5"/>
    <w:rsid w:val="00911C48"/>
    <w:rsid w:val="009259BD"/>
    <w:rsid w:val="0092611A"/>
    <w:rsid w:val="009534EF"/>
    <w:rsid w:val="009560B3"/>
    <w:rsid w:val="00962F12"/>
    <w:rsid w:val="009644BD"/>
    <w:rsid w:val="00980888"/>
    <w:rsid w:val="0099010F"/>
    <w:rsid w:val="009D1BBA"/>
    <w:rsid w:val="009D40B0"/>
    <w:rsid w:val="009E51C7"/>
    <w:rsid w:val="009F4310"/>
    <w:rsid w:val="009F6BC4"/>
    <w:rsid w:val="00A10EA7"/>
    <w:rsid w:val="00A12C2B"/>
    <w:rsid w:val="00A3497D"/>
    <w:rsid w:val="00A43207"/>
    <w:rsid w:val="00A5235F"/>
    <w:rsid w:val="00A529C4"/>
    <w:rsid w:val="00A56531"/>
    <w:rsid w:val="00A6290D"/>
    <w:rsid w:val="00AB169E"/>
    <w:rsid w:val="00AD09CC"/>
    <w:rsid w:val="00AE2A32"/>
    <w:rsid w:val="00AE6B0C"/>
    <w:rsid w:val="00AE7187"/>
    <w:rsid w:val="00AF1D23"/>
    <w:rsid w:val="00B0034E"/>
    <w:rsid w:val="00B06293"/>
    <w:rsid w:val="00B0709F"/>
    <w:rsid w:val="00B1112E"/>
    <w:rsid w:val="00B11313"/>
    <w:rsid w:val="00B13D0E"/>
    <w:rsid w:val="00B23C36"/>
    <w:rsid w:val="00B26543"/>
    <w:rsid w:val="00B31CF5"/>
    <w:rsid w:val="00BB40B4"/>
    <w:rsid w:val="00BD29DF"/>
    <w:rsid w:val="00BD77EA"/>
    <w:rsid w:val="00BD795A"/>
    <w:rsid w:val="00C201F7"/>
    <w:rsid w:val="00C229DE"/>
    <w:rsid w:val="00C46749"/>
    <w:rsid w:val="00C67584"/>
    <w:rsid w:val="00C74D9F"/>
    <w:rsid w:val="00C81313"/>
    <w:rsid w:val="00C921EB"/>
    <w:rsid w:val="00CA1BA5"/>
    <w:rsid w:val="00CA706A"/>
    <w:rsid w:val="00CB69FD"/>
    <w:rsid w:val="00CD485C"/>
    <w:rsid w:val="00CD54F9"/>
    <w:rsid w:val="00CE1A07"/>
    <w:rsid w:val="00D1536A"/>
    <w:rsid w:val="00D25471"/>
    <w:rsid w:val="00D46C2A"/>
    <w:rsid w:val="00D47E2B"/>
    <w:rsid w:val="00D571D5"/>
    <w:rsid w:val="00D61CDB"/>
    <w:rsid w:val="00D733D0"/>
    <w:rsid w:val="00DA0CD7"/>
    <w:rsid w:val="00DE49A3"/>
    <w:rsid w:val="00E213ED"/>
    <w:rsid w:val="00E21CEA"/>
    <w:rsid w:val="00E61224"/>
    <w:rsid w:val="00E61FA6"/>
    <w:rsid w:val="00EC02C5"/>
    <w:rsid w:val="00F10612"/>
    <w:rsid w:val="00F1437C"/>
    <w:rsid w:val="00F24860"/>
    <w:rsid w:val="00F304F1"/>
    <w:rsid w:val="00F36384"/>
    <w:rsid w:val="00F64B14"/>
    <w:rsid w:val="00F718E4"/>
    <w:rsid w:val="00F72FE3"/>
    <w:rsid w:val="00F861C3"/>
    <w:rsid w:val="00F95D40"/>
    <w:rsid w:val="00FA5305"/>
    <w:rsid w:val="00FA7EB9"/>
    <w:rsid w:val="00FB5404"/>
    <w:rsid w:val="00FB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D782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2C0142"/>
    <w:pPr>
      <w:spacing w:after="0" w:line="240" w:lineRule="auto"/>
    </w:pPr>
  </w:style>
  <w:style w:type="paragraph" w:styleId="Heading1">
    <w:name w:val="heading 1"/>
    <w:aliases w:val="EAB Heading 1 (Linked)"/>
    <w:basedOn w:val="Normal"/>
    <w:next w:val="Heading2"/>
    <w:link w:val="Heading1Char"/>
    <w:qFormat/>
    <w:rsid w:val="007E7B6A"/>
    <w:pPr>
      <w:keepNext/>
      <w:keepLines/>
      <w:pBdr>
        <w:bottom w:val="single" w:sz="6" w:space="3" w:color="auto"/>
      </w:pBdr>
      <w:suppressAutoHyphens/>
      <w:spacing w:before="240" w:after="80"/>
      <w:outlineLvl w:val="0"/>
    </w:pPr>
    <w:rPr>
      <w:rFonts w:asciiTheme="majorHAnsi" w:eastAsiaTheme="majorEastAsia" w:hAnsiTheme="majorHAnsi" w:cstheme="majorBidi"/>
      <w:color w:val="004A88" w:themeColor="accent5"/>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9259BD"/>
    <w:pPr>
      <w:keepNext/>
      <w:keepLines/>
      <w:suppressAutoHyphens/>
      <w:spacing w:before="400"/>
      <w:ind w:left="720"/>
      <w:outlineLvl w:val="2"/>
    </w:pPr>
    <w:rPr>
      <w:rFonts w:eastAsiaTheme="majorEastAsia" w:cstheme="majorBidi"/>
      <w:b/>
      <w:color w:val="A0A4A9" w:themeColor="accent2"/>
      <w:sz w:val="24"/>
      <w:szCs w:val="24"/>
    </w:rPr>
  </w:style>
  <w:style w:type="paragraph" w:styleId="Heading4">
    <w:name w:val="heading 4"/>
    <w:aliases w:val="EAB Graphic Title / EAB Heading 4"/>
    <w:basedOn w:val="Normal"/>
    <w:next w:val="Heading5"/>
    <w:link w:val="Heading4Char"/>
    <w:uiPriority w:val="9"/>
    <w:qFormat/>
    <w:rsid w:val="009259BD"/>
    <w:pPr>
      <w:keepNext/>
      <w:keepLines/>
      <w:suppressAutoHyphens/>
      <w:spacing w:before="360" w:after="60"/>
      <w:ind w:left="7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9259BD"/>
    <w:pPr>
      <w:keepNext/>
      <w:keepLines/>
      <w:suppressAutoHyphens/>
      <w:spacing w:before="60"/>
      <w:ind w:left="720"/>
      <w:outlineLvl w:val="4"/>
    </w:pPr>
    <w:rPr>
      <w:rFonts w:eastAsiaTheme="majorEastAsia" w:cstheme="majorBidi"/>
      <w:i/>
      <w:color w:val="666E76"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7E7B6A"/>
    <w:rPr>
      <w:rFonts w:asciiTheme="majorHAnsi" w:eastAsiaTheme="majorEastAsia" w:hAnsiTheme="majorHAnsi" w:cstheme="majorBidi"/>
      <w:color w:val="004A88" w:themeColor="accent5"/>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9259BD"/>
    <w:rPr>
      <w:rFonts w:eastAsiaTheme="majorEastAsia" w:cstheme="majorBidi"/>
      <w:b/>
      <w:color w:val="A0A4A9" w:themeColor="accent2"/>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9259BD"/>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9259BD"/>
    <w:rPr>
      <w:rFonts w:eastAsiaTheme="majorEastAsia" w:cstheme="majorBidi"/>
      <w:i/>
      <w:color w:val="666E76" w:themeColor="accent3"/>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9259BD"/>
    <w:pPr>
      <w:suppressAutoHyphens/>
      <w:spacing w:before="160" w:line="288" w:lineRule="auto"/>
      <w:ind w:left="720"/>
    </w:pPr>
  </w:style>
  <w:style w:type="character" w:customStyle="1" w:styleId="BodyTextChar">
    <w:name w:val="Body Text Char"/>
    <w:aliases w:val="EAB Section Text Char"/>
    <w:basedOn w:val="DefaultParagraphFont"/>
    <w:link w:val="BodyText"/>
    <w:uiPriority w:val="1"/>
    <w:rsid w:val="009259BD"/>
  </w:style>
  <w:style w:type="paragraph" w:styleId="ListBullet">
    <w:name w:val="List Bullet"/>
    <w:aliases w:val="EAB Section Bullets"/>
    <w:basedOn w:val="Normal"/>
    <w:uiPriority w:val="2"/>
    <w:qFormat/>
    <w:rsid w:val="00A12C2B"/>
    <w:pPr>
      <w:numPr>
        <w:numId w:val="1"/>
      </w:numPr>
      <w:suppressAutoHyphens/>
      <w:spacing w:before="100" w:line="288" w:lineRule="auto"/>
    </w:pPr>
  </w:style>
  <w:style w:type="paragraph" w:styleId="ListNumber">
    <w:name w:val="List Number"/>
    <w:aliases w:val="EAB Section Numbers"/>
    <w:basedOn w:val="Normal"/>
    <w:uiPriority w:val="2"/>
    <w:qFormat/>
    <w:rsid w:val="00A12C2B"/>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9259BD"/>
    <w:pPr>
      <w:suppressAutoHyphens/>
      <w:spacing w:before="160"/>
      <w:ind w:left="7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0CD"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4A88" w:themeFill="accent5"/>
      </w:tcPr>
    </w:tblStylePr>
    <w:tblStylePr w:type="firstCol">
      <w:rPr>
        <w:b w:val="0"/>
        <w:color w:val="333E48" w:themeColor="text1"/>
      </w:rPr>
    </w:tblStylePr>
    <w:tblStylePr w:type="lastCol">
      <w:rPr>
        <w:b/>
        <w:color w:val="FFFFFF" w:themeColor="background1"/>
      </w:rPr>
      <w:tblPr/>
      <w:tcPr>
        <w:shd w:val="clear" w:color="auto" w:fill="004A88"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666E76"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paragraph" w:customStyle="1" w:styleId="Default">
    <w:name w:val="Default"/>
    <w:rsid w:val="00321CCE"/>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element-invisible">
    <w:name w:val="element-invisible"/>
    <w:basedOn w:val="DefaultParagraphFont"/>
    <w:rsid w:val="00953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447693">
      <w:bodyDiv w:val="1"/>
      <w:marLeft w:val="0"/>
      <w:marRight w:val="0"/>
      <w:marTop w:val="0"/>
      <w:marBottom w:val="0"/>
      <w:divBdr>
        <w:top w:val="none" w:sz="0" w:space="0" w:color="auto"/>
        <w:left w:val="none" w:sz="0" w:space="0" w:color="auto"/>
        <w:bottom w:val="none" w:sz="0" w:space="0" w:color="auto"/>
        <w:right w:val="none" w:sz="0" w:space="0" w:color="auto"/>
      </w:divBdr>
    </w:div>
    <w:div w:id="388655200">
      <w:bodyDiv w:val="1"/>
      <w:marLeft w:val="0"/>
      <w:marRight w:val="0"/>
      <w:marTop w:val="0"/>
      <w:marBottom w:val="0"/>
      <w:divBdr>
        <w:top w:val="none" w:sz="0" w:space="0" w:color="auto"/>
        <w:left w:val="none" w:sz="0" w:space="0" w:color="auto"/>
        <w:bottom w:val="none" w:sz="0" w:space="0" w:color="auto"/>
        <w:right w:val="none" w:sz="0" w:space="0" w:color="auto"/>
      </w:divBdr>
    </w:div>
    <w:div w:id="414715324">
      <w:bodyDiv w:val="1"/>
      <w:marLeft w:val="0"/>
      <w:marRight w:val="0"/>
      <w:marTop w:val="0"/>
      <w:marBottom w:val="0"/>
      <w:divBdr>
        <w:top w:val="none" w:sz="0" w:space="0" w:color="auto"/>
        <w:left w:val="none" w:sz="0" w:space="0" w:color="auto"/>
        <w:bottom w:val="none" w:sz="0" w:space="0" w:color="auto"/>
        <w:right w:val="none" w:sz="0" w:space="0" w:color="auto"/>
      </w:divBdr>
    </w:div>
    <w:div w:id="1092435845">
      <w:bodyDiv w:val="1"/>
      <w:marLeft w:val="0"/>
      <w:marRight w:val="0"/>
      <w:marTop w:val="0"/>
      <w:marBottom w:val="0"/>
      <w:divBdr>
        <w:top w:val="none" w:sz="0" w:space="0" w:color="auto"/>
        <w:left w:val="none" w:sz="0" w:space="0" w:color="auto"/>
        <w:bottom w:val="none" w:sz="0" w:space="0" w:color="auto"/>
        <w:right w:val="none" w:sz="0" w:space="0" w:color="auto"/>
      </w:divBdr>
    </w:div>
    <w:div w:id="1894925652">
      <w:bodyDiv w:val="1"/>
      <w:marLeft w:val="0"/>
      <w:marRight w:val="0"/>
      <w:marTop w:val="0"/>
      <w:marBottom w:val="0"/>
      <w:divBdr>
        <w:top w:val="none" w:sz="0" w:space="0" w:color="auto"/>
        <w:left w:val="none" w:sz="0" w:space="0" w:color="auto"/>
        <w:bottom w:val="none" w:sz="0" w:space="0" w:color="auto"/>
        <w:right w:val="none" w:sz="0" w:space="0" w:color="auto"/>
      </w:divBdr>
    </w:div>
    <w:div w:id="1957102139">
      <w:bodyDiv w:val="1"/>
      <w:marLeft w:val="0"/>
      <w:marRight w:val="0"/>
      <w:marTop w:val="0"/>
      <w:marBottom w:val="0"/>
      <w:divBdr>
        <w:top w:val="none" w:sz="0" w:space="0" w:color="auto"/>
        <w:left w:val="none" w:sz="0" w:space="0" w:color="auto"/>
        <w:bottom w:val="none" w:sz="0" w:space="0" w:color="auto"/>
        <w:right w:val="none" w:sz="0" w:space="0" w:color="auto"/>
      </w:divBdr>
    </w:div>
    <w:div w:id="1968469427">
      <w:bodyDiv w:val="1"/>
      <w:marLeft w:val="0"/>
      <w:marRight w:val="0"/>
      <w:marTop w:val="0"/>
      <w:marBottom w:val="0"/>
      <w:divBdr>
        <w:top w:val="none" w:sz="0" w:space="0" w:color="auto"/>
        <w:left w:val="none" w:sz="0" w:space="0" w:color="auto"/>
        <w:bottom w:val="none" w:sz="0" w:space="0" w:color="auto"/>
        <w:right w:val="none" w:sz="0" w:space="0" w:color="auto"/>
      </w:divBdr>
    </w:div>
    <w:div w:id="214684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ehl\Box\EAB%20Branding,%20Templates,%20and%20Imagery\EAB%20Templates\EAB%20Word%20Templates\EAB2%20Secondary\EAB2%20Secondary%20wCover%20060518.dotm" TargetMode="External"/></Relationships>
</file>

<file path=word/theme/theme1.xml><?xml version="1.0" encoding="utf-8"?>
<a:theme xmlns:a="http://schemas.openxmlformats.org/drawingml/2006/main" name="Office Theme">
  <a:themeElements>
    <a:clrScheme name="EAB Color Palette (2017)">
      <a:dk1>
        <a:srgbClr val="333E48"/>
      </a:dk1>
      <a:lt1>
        <a:srgbClr val="FFFFFF"/>
      </a:lt1>
      <a:dk2>
        <a:srgbClr val="F28B00"/>
      </a:dk2>
      <a:lt2>
        <a:srgbClr val="D6D8DA"/>
      </a:lt2>
      <a:accent1>
        <a:srgbClr val="C4C7CA"/>
      </a:accent1>
      <a:accent2>
        <a:srgbClr val="A0A4A9"/>
      </a:accent2>
      <a:accent3>
        <a:srgbClr val="666E76"/>
      </a:accent3>
      <a:accent4>
        <a:srgbClr val="333E48"/>
      </a:accent4>
      <a:accent5>
        <a:srgbClr val="004A88"/>
      </a:accent5>
      <a:accent6>
        <a:srgbClr val="0070CD"/>
      </a:accent6>
      <a:hlink>
        <a:srgbClr val="0070CD"/>
      </a:hlink>
      <a:folHlink>
        <a:srgbClr val="A0A4A9"/>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solidFill>
            <a:schemeClr val="accent3"/>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3"/>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3C53FC2-451E-4B83-B462-FF4CB472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EAB2 Secondary wCover 060518</Template>
  <TotalTime>0</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2018-11-06T20:25:00Z</dcterms:created>
  <dcterms:modified xsi:type="dcterms:W3CDTF">2018-12-18T20:32:00Z</dcterms:modified>
</cp:coreProperties>
</file>