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0370446"/>
        <w:docPartObj>
          <w:docPartGallery w:val="Cover Pages"/>
          <w:docPartUnique/>
        </w:docPartObj>
      </w:sdt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062690" w:rsidRPr="00452FBA" w14:paraId="2AFEBEBC" w14:textId="77777777" w:rsidTr="00AE2A32">
            <w:trPr>
              <w:trHeight w:val="936"/>
            </w:trPr>
            <w:tc>
              <w:tcPr>
                <w:tcW w:w="2390" w:type="dxa"/>
                <w:tcMar>
                  <w:left w:w="58" w:type="dxa"/>
                </w:tcMar>
                <w:vAlign w:val="center"/>
              </w:tcPr>
              <w:p w14:paraId="7C24F6B3" w14:textId="77777777" w:rsidR="00062690" w:rsidRPr="00452FBA" w:rsidRDefault="00062690" w:rsidP="00BD795A">
                <w:pPr>
                  <w:pStyle w:val="EABNormal"/>
                </w:pPr>
                <w:r>
                  <w:rPr>
                    <w:noProof/>
                  </w:rPr>
                  <w:drawing>
                    <wp:inline distT="0" distB="0" distL="0" distR="0" wp14:anchorId="59718C5B" wp14:editId="742261A9">
                      <wp:extent cx="1320213" cy="50703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311919C7" w14:textId="5F869D76" w:rsidR="00062690" w:rsidRPr="00861834" w:rsidRDefault="00860384" w:rsidP="00AE2A32">
                <w:pPr>
                  <w:pStyle w:val="EABNormal"/>
                  <w:jc w:val="right"/>
                  <w:rPr>
                    <w:color w:val="004B87" w:themeColor="accent3"/>
                    <w:sz w:val="24"/>
                    <w:szCs w:val="24"/>
                  </w:rPr>
                </w:pPr>
                <w:r>
                  <w:rPr>
                    <w:rFonts w:asciiTheme="majorHAnsi" w:hAnsiTheme="majorHAnsi"/>
                    <w:color w:val="004B87" w:themeColor="accent3"/>
                    <w:sz w:val="24"/>
                    <w:szCs w:val="24"/>
                  </w:rPr>
                  <w:t>Enrollment Management Forum</w:t>
                </w:r>
              </w:p>
            </w:tc>
          </w:tr>
        </w:tbl>
        <w:p w14:paraId="09E80B2A" w14:textId="276644CD" w:rsidR="00062690" w:rsidRPr="00452FBA" w:rsidRDefault="00860384" w:rsidP="0099010F">
          <w:pPr>
            <w:pStyle w:val="EABHeading1NotLinked"/>
          </w:pPr>
          <w:r>
            <w:t xml:space="preserve">Template for a </w:t>
          </w:r>
          <w:r w:rsidR="00F572F4">
            <w:t xml:space="preserve">scoreless </w:t>
          </w:r>
          <w:r>
            <w:t>admissions rubric</w:t>
          </w:r>
        </w:p>
        <w:p w14:paraId="131B7E31" w14:textId="0731C487" w:rsidR="003626E3" w:rsidRDefault="007A34A9" w:rsidP="00860384">
          <w:pPr>
            <w:pStyle w:val="BodyText"/>
          </w:pPr>
          <w:r>
            <w:br/>
          </w:r>
          <w:r w:rsidR="00860384" w:rsidRPr="00860384">
            <w:t>Below is a</w:t>
          </w:r>
          <w:r>
            <w:t>n editable</w:t>
          </w:r>
          <w:r w:rsidR="00860384" w:rsidRPr="00860384">
            <w:t xml:space="preserve"> template you can use to start developing your own rubric to evaluate applicants who choose to apply without submitting a standardized test score. </w:t>
          </w:r>
          <w:r w:rsidR="00F572F4">
            <w:t>To complete</w:t>
          </w:r>
          <w:r w:rsidR="003626E3">
            <w:t xml:space="preserve"> the rubric</w:t>
          </w:r>
          <w:r w:rsidR="00BF3E75">
            <w:t xml:space="preserve">: </w:t>
          </w:r>
        </w:p>
        <w:p w14:paraId="39027376" w14:textId="1B4D1B67" w:rsidR="003626E3" w:rsidRDefault="003626E3" w:rsidP="00BF3E75">
          <w:pPr>
            <w:pStyle w:val="BodyText"/>
            <w:numPr>
              <w:ilvl w:val="0"/>
              <w:numId w:val="16"/>
            </w:numPr>
          </w:pPr>
          <w:r>
            <w:t>Determine the top five or six criteria you are looking for in applicants, beyond GPA – those things that reflect your institution’s values and are predictive of success on campus</w:t>
          </w:r>
        </w:p>
        <w:p w14:paraId="3AC86F6E" w14:textId="17F40D16" w:rsidR="00BF3E75" w:rsidRDefault="003626E3" w:rsidP="00BF3E75">
          <w:pPr>
            <w:pStyle w:val="BodyText"/>
            <w:numPr>
              <w:ilvl w:val="0"/>
              <w:numId w:val="16"/>
            </w:numPr>
          </w:pPr>
          <w:r>
            <w:t xml:space="preserve">Define what </w:t>
          </w:r>
          <w:r w:rsidR="00BF3E75">
            <w:t xml:space="preserve">the best version of that accomplishment or trait looks like (five points), and then work backwards to </w:t>
          </w:r>
          <w:r w:rsidR="00860384" w:rsidRPr="00860384">
            <w:t xml:space="preserve">fill out what each </w:t>
          </w:r>
          <w:proofErr w:type="gramStart"/>
          <w:r w:rsidR="00860384" w:rsidRPr="00860384">
            <w:t>criteria</w:t>
          </w:r>
          <w:proofErr w:type="gramEnd"/>
          <w:r w:rsidR="00860384" w:rsidRPr="00860384">
            <w:t xml:space="preserve"> would look like on a 1-5 scale </w:t>
          </w:r>
        </w:p>
        <w:p w14:paraId="075BDFCB" w14:textId="503E0817" w:rsidR="00860384" w:rsidRDefault="006B5852" w:rsidP="00251532">
          <w:pPr>
            <w:pStyle w:val="BodyText"/>
            <w:numPr>
              <w:ilvl w:val="0"/>
              <w:numId w:val="16"/>
            </w:numPr>
          </w:pPr>
          <w:r>
            <w:t>Train applications reviewers to f</w:t>
          </w:r>
          <w:r w:rsidR="00860384" w:rsidRPr="00860384">
            <w:t>ill out this rubric for each applicant</w:t>
          </w:r>
          <w:r>
            <w:t xml:space="preserve"> </w:t>
          </w:r>
        </w:p>
        <w:p w14:paraId="63BA0F91" w14:textId="77777777" w:rsidR="007A34A9" w:rsidRDefault="007A34A9" w:rsidP="00860384">
          <w:pPr>
            <w:pStyle w:val="BodyText"/>
          </w:pPr>
        </w:p>
        <w:tbl>
          <w:tblPr>
            <w:tblStyle w:val="EABStandardTable"/>
            <w:tblW w:w="0" w:type="auto"/>
            <w:tblInd w:w="720" w:type="dxa"/>
            <w:tblLook w:val="04A0" w:firstRow="1" w:lastRow="0" w:firstColumn="1" w:lastColumn="0" w:noHBand="0" w:noVBand="1"/>
          </w:tblPr>
          <w:tblGrid>
            <w:gridCol w:w="1671"/>
            <w:gridCol w:w="1593"/>
            <w:gridCol w:w="1593"/>
            <w:gridCol w:w="1593"/>
            <w:gridCol w:w="1594"/>
            <w:gridCol w:w="1594"/>
          </w:tblGrid>
          <w:tr w:rsidR="007A34A9" w14:paraId="35F6D84A" w14:textId="77777777" w:rsidTr="007A3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16F587B4" w14:textId="4512C433" w:rsidR="007A34A9" w:rsidRDefault="007A34A9" w:rsidP="00860384">
                <w:pPr>
                  <w:pStyle w:val="BodyText"/>
                  <w:ind w:left="0"/>
                </w:pPr>
              </w:p>
            </w:tc>
            <w:tc>
              <w:tcPr>
                <w:tcW w:w="1593" w:type="dxa"/>
              </w:tcPr>
              <w:p w14:paraId="6463BC0F" w14:textId="7EF7D163" w:rsidR="007A34A9" w:rsidRDefault="007A34A9" w:rsidP="007A34A9">
                <w:pPr>
                  <w:pStyle w:val="BodyText"/>
                  <w:ind w:left="0"/>
                  <w:jc w:val="center"/>
                  <w:cnfStyle w:val="100000000000" w:firstRow="1" w:lastRow="0" w:firstColumn="0" w:lastColumn="0" w:oddVBand="0" w:evenVBand="0" w:oddHBand="0" w:evenHBand="0" w:firstRowFirstColumn="0" w:firstRowLastColumn="0" w:lastRowFirstColumn="0" w:lastRowLastColumn="0"/>
                </w:pPr>
                <w:r>
                  <w:t>1</w:t>
                </w:r>
              </w:p>
            </w:tc>
            <w:tc>
              <w:tcPr>
                <w:tcW w:w="1593" w:type="dxa"/>
              </w:tcPr>
              <w:p w14:paraId="61328A14" w14:textId="2A927E89" w:rsidR="007A34A9" w:rsidRDefault="007A34A9" w:rsidP="007A34A9">
                <w:pPr>
                  <w:pStyle w:val="BodyText"/>
                  <w:ind w:left="0"/>
                  <w:jc w:val="center"/>
                  <w:cnfStyle w:val="100000000000" w:firstRow="1" w:lastRow="0" w:firstColumn="0" w:lastColumn="0" w:oddVBand="0" w:evenVBand="0" w:oddHBand="0" w:evenHBand="0" w:firstRowFirstColumn="0" w:firstRowLastColumn="0" w:lastRowFirstColumn="0" w:lastRowLastColumn="0"/>
                </w:pPr>
                <w:r>
                  <w:t>2</w:t>
                </w:r>
              </w:p>
            </w:tc>
            <w:tc>
              <w:tcPr>
                <w:tcW w:w="1593" w:type="dxa"/>
              </w:tcPr>
              <w:p w14:paraId="6AE7FA0E" w14:textId="024A4A0C" w:rsidR="007A34A9" w:rsidRDefault="007A34A9" w:rsidP="007A34A9">
                <w:pPr>
                  <w:pStyle w:val="BodyText"/>
                  <w:ind w:left="0"/>
                  <w:jc w:val="center"/>
                  <w:cnfStyle w:val="100000000000" w:firstRow="1" w:lastRow="0" w:firstColumn="0" w:lastColumn="0" w:oddVBand="0" w:evenVBand="0" w:oddHBand="0" w:evenHBand="0" w:firstRowFirstColumn="0" w:firstRowLastColumn="0" w:lastRowFirstColumn="0" w:lastRowLastColumn="0"/>
                </w:pPr>
                <w:r>
                  <w:t>3</w:t>
                </w:r>
              </w:p>
            </w:tc>
            <w:tc>
              <w:tcPr>
                <w:tcW w:w="1594" w:type="dxa"/>
              </w:tcPr>
              <w:p w14:paraId="6070CE4A" w14:textId="12F6432D" w:rsidR="007A34A9" w:rsidRDefault="007A34A9" w:rsidP="007A34A9">
                <w:pPr>
                  <w:pStyle w:val="BodyText"/>
                  <w:ind w:left="0"/>
                  <w:jc w:val="center"/>
                  <w:cnfStyle w:val="100000000000" w:firstRow="1" w:lastRow="0" w:firstColumn="0" w:lastColumn="0" w:oddVBand="0" w:evenVBand="0" w:oddHBand="0" w:evenHBand="0" w:firstRowFirstColumn="0" w:firstRowLastColumn="0" w:lastRowFirstColumn="0" w:lastRowLastColumn="0"/>
                </w:pPr>
                <w:r>
                  <w:t>4</w:t>
                </w:r>
              </w:p>
            </w:tc>
            <w:tc>
              <w:tcPr>
                <w:tcW w:w="1594" w:type="dxa"/>
              </w:tcPr>
              <w:p w14:paraId="62A6D99A" w14:textId="47B52C3C" w:rsidR="007A34A9" w:rsidRPr="007A34A9" w:rsidRDefault="007A34A9" w:rsidP="007A34A9">
                <w:pPr>
                  <w:pStyle w:val="BodyText"/>
                  <w:ind w:left="0"/>
                  <w:jc w:val="center"/>
                  <w:cnfStyle w:val="100000000000" w:firstRow="1" w:lastRow="0" w:firstColumn="0" w:lastColumn="0" w:oddVBand="0" w:evenVBand="0" w:oddHBand="0" w:evenHBand="0" w:firstRowFirstColumn="0" w:firstRowLastColumn="0" w:lastRowFirstColumn="0" w:lastRowLastColumn="0"/>
                </w:pPr>
                <w:r w:rsidRPr="007A34A9">
                  <w:t>5</w:t>
                </w:r>
              </w:p>
            </w:tc>
          </w:tr>
          <w:tr w:rsidR="007A34A9" w14:paraId="295FEBB2" w14:textId="77777777" w:rsidTr="007A3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59D46593" w14:textId="6AA0D83A" w:rsidR="007A34A9" w:rsidRPr="007A34A9" w:rsidRDefault="007A34A9" w:rsidP="00860384">
                <w:pPr>
                  <w:pStyle w:val="BodyText"/>
                  <w:ind w:left="0"/>
                  <w:rPr>
                    <w:sz w:val="18"/>
                  </w:rPr>
                </w:pPr>
                <w:r>
                  <w:rPr>
                    <w:sz w:val="18"/>
                  </w:rPr>
                  <w:br/>
                </w:r>
                <w:r w:rsidRPr="007A34A9">
                  <w:rPr>
                    <w:sz w:val="18"/>
                  </w:rPr>
                  <w:t>Evaluation Criteria #1</w:t>
                </w:r>
                <w:r>
                  <w:rPr>
                    <w:sz w:val="18"/>
                  </w:rPr>
                  <w:br/>
                </w:r>
              </w:p>
            </w:tc>
            <w:tc>
              <w:tcPr>
                <w:tcW w:w="1593" w:type="dxa"/>
              </w:tcPr>
              <w:p w14:paraId="44499850"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3" w:type="dxa"/>
              </w:tcPr>
              <w:p w14:paraId="5664FBB8"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3" w:type="dxa"/>
              </w:tcPr>
              <w:p w14:paraId="7B19A6B2"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4" w:type="dxa"/>
              </w:tcPr>
              <w:p w14:paraId="221CE73D"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4" w:type="dxa"/>
              </w:tcPr>
              <w:p w14:paraId="49DFCA47"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r>
          <w:tr w:rsidR="007A34A9" w14:paraId="4FF89484" w14:textId="77777777" w:rsidTr="007A3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5FE1E6B3" w14:textId="3453AA3F" w:rsidR="007A34A9" w:rsidRPr="007A34A9" w:rsidRDefault="007A34A9" w:rsidP="00860384">
                <w:pPr>
                  <w:pStyle w:val="BodyText"/>
                  <w:ind w:left="0"/>
                  <w:rPr>
                    <w:sz w:val="18"/>
                  </w:rPr>
                </w:pPr>
                <w:r>
                  <w:rPr>
                    <w:sz w:val="18"/>
                  </w:rPr>
                  <w:br/>
                </w:r>
                <w:r w:rsidRPr="007A34A9">
                  <w:rPr>
                    <w:sz w:val="18"/>
                  </w:rPr>
                  <w:t>Evaluation Criteria #2</w:t>
                </w:r>
                <w:r>
                  <w:rPr>
                    <w:sz w:val="18"/>
                  </w:rPr>
                  <w:br/>
                </w:r>
              </w:p>
            </w:tc>
            <w:tc>
              <w:tcPr>
                <w:tcW w:w="1593" w:type="dxa"/>
              </w:tcPr>
              <w:p w14:paraId="785C5576"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3" w:type="dxa"/>
              </w:tcPr>
              <w:p w14:paraId="09479A6A"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3" w:type="dxa"/>
              </w:tcPr>
              <w:p w14:paraId="1AFB8271"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4" w:type="dxa"/>
              </w:tcPr>
              <w:p w14:paraId="3DC7E9CA"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4" w:type="dxa"/>
              </w:tcPr>
              <w:p w14:paraId="3960C1D3"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r>
          <w:tr w:rsidR="007A34A9" w14:paraId="3CAA8ABE" w14:textId="77777777" w:rsidTr="007A3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0E667621" w14:textId="02D8354F" w:rsidR="007A34A9" w:rsidRPr="007A34A9" w:rsidRDefault="007A34A9" w:rsidP="00860384">
                <w:pPr>
                  <w:pStyle w:val="BodyText"/>
                  <w:ind w:left="0"/>
                  <w:rPr>
                    <w:sz w:val="18"/>
                  </w:rPr>
                </w:pPr>
                <w:r>
                  <w:rPr>
                    <w:sz w:val="18"/>
                  </w:rPr>
                  <w:br/>
                </w:r>
                <w:r w:rsidRPr="007A34A9">
                  <w:rPr>
                    <w:sz w:val="18"/>
                  </w:rPr>
                  <w:t>Evaluation Criteria #3</w:t>
                </w:r>
                <w:r>
                  <w:rPr>
                    <w:sz w:val="18"/>
                  </w:rPr>
                  <w:br/>
                </w:r>
              </w:p>
            </w:tc>
            <w:tc>
              <w:tcPr>
                <w:tcW w:w="1593" w:type="dxa"/>
              </w:tcPr>
              <w:p w14:paraId="0BCE923A"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3" w:type="dxa"/>
              </w:tcPr>
              <w:p w14:paraId="0ECC846E"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3" w:type="dxa"/>
              </w:tcPr>
              <w:p w14:paraId="57011CC4"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4" w:type="dxa"/>
              </w:tcPr>
              <w:p w14:paraId="60B97CDE"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4" w:type="dxa"/>
              </w:tcPr>
              <w:p w14:paraId="46F83F8B"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r>
          <w:tr w:rsidR="007A34A9" w14:paraId="210509C0" w14:textId="77777777" w:rsidTr="007A3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75996D4B" w14:textId="66E165F4" w:rsidR="007A34A9" w:rsidRPr="007A34A9" w:rsidRDefault="007A34A9" w:rsidP="00860384">
                <w:pPr>
                  <w:pStyle w:val="BodyText"/>
                  <w:ind w:left="0"/>
                  <w:rPr>
                    <w:sz w:val="18"/>
                  </w:rPr>
                </w:pPr>
                <w:r>
                  <w:rPr>
                    <w:sz w:val="18"/>
                  </w:rPr>
                  <w:br/>
                </w:r>
                <w:r w:rsidRPr="007A34A9">
                  <w:rPr>
                    <w:sz w:val="18"/>
                  </w:rPr>
                  <w:t>Evaluation Criteria #4</w:t>
                </w:r>
                <w:r>
                  <w:rPr>
                    <w:sz w:val="18"/>
                  </w:rPr>
                  <w:br/>
                </w:r>
              </w:p>
            </w:tc>
            <w:tc>
              <w:tcPr>
                <w:tcW w:w="1593" w:type="dxa"/>
              </w:tcPr>
              <w:p w14:paraId="1A02C106"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3" w:type="dxa"/>
              </w:tcPr>
              <w:p w14:paraId="76B3B082"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3" w:type="dxa"/>
              </w:tcPr>
              <w:p w14:paraId="6687674E"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4" w:type="dxa"/>
              </w:tcPr>
              <w:p w14:paraId="739313BE"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c>
              <w:tcPr>
                <w:tcW w:w="1594" w:type="dxa"/>
              </w:tcPr>
              <w:p w14:paraId="6C695C41" w14:textId="77777777" w:rsidR="007A34A9" w:rsidRDefault="007A34A9" w:rsidP="00860384">
                <w:pPr>
                  <w:pStyle w:val="BodyText"/>
                  <w:ind w:left="0"/>
                  <w:cnfStyle w:val="000000010000" w:firstRow="0" w:lastRow="0" w:firstColumn="0" w:lastColumn="0" w:oddVBand="0" w:evenVBand="0" w:oddHBand="0" w:evenHBand="1" w:firstRowFirstColumn="0" w:firstRowLastColumn="0" w:lastRowFirstColumn="0" w:lastRowLastColumn="0"/>
                </w:pPr>
              </w:p>
            </w:tc>
          </w:tr>
          <w:tr w:rsidR="007A34A9" w14:paraId="08F00FD3" w14:textId="77777777" w:rsidTr="007A3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5953C006" w14:textId="2C500F26" w:rsidR="007A34A9" w:rsidRPr="007A34A9" w:rsidRDefault="007A34A9" w:rsidP="00860384">
                <w:pPr>
                  <w:pStyle w:val="BodyText"/>
                  <w:ind w:left="0"/>
                  <w:rPr>
                    <w:sz w:val="18"/>
                  </w:rPr>
                </w:pPr>
                <w:r>
                  <w:rPr>
                    <w:sz w:val="18"/>
                  </w:rPr>
                  <w:br/>
                </w:r>
                <w:r w:rsidRPr="007A34A9">
                  <w:rPr>
                    <w:sz w:val="18"/>
                  </w:rPr>
                  <w:t>Evaluation Criteria #5</w:t>
                </w:r>
                <w:r>
                  <w:rPr>
                    <w:sz w:val="18"/>
                  </w:rPr>
                  <w:br/>
                </w:r>
              </w:p>
            </w:tc>
            <w:tc>
              <w:tcPr>
                <w:tcW w:w="1593" w:type="dxa"/>
              </w:tcPr>
              <w:p w14:paraId="7CFA85A3"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3" w:type="dxa"/>
              </w:tcPr>
              <w:p w14:paraId="31E5A7CA"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3" w:type="dxa"/>
              </w:tcPr>
              <w:p w14:paraId="5262C7AC"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4" w:type="dxa"/>
              </w:tcPr>
              <w:p w14:paraId="329302C7"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c>
              <w:tcPr>
                <w:tcW w:w="1594" w:type="dxa"/>
              </w:tcPr>
              <w:p w14:paraId="4CDE5858" w14:textId="77777777" w:rsidR="007A34A9" w:rsidRDefault="007A34A9" w:rsidP="00860384">
                <w:pPr>
                  <w:pStyle w:val="BodyText"/>
                  <w:ind w:left="0"/>
                  <w:cnfStyle w:val="000000100000" w:firstRow="0" w:lastRow="0" w:firstColumn="0" w:lastColumn="0" w:oddVBand="0" w:evenVBand="0" w:oddHBand="1" w:evenHBand="0" w:firstRowFirstColumn="0" w:firstRowLastColumn="0" w:lastRowFirstColumn="0" w:lastRowLastColumn="0"/>
                </w:pPr>
              </w:p>
            </w:tc>
          </w:tr>
        </w:tbl>
        <w:p w14:paraId="6440C52E" w14:textId="76C93F0E" w:rsidR="007A34A9" w:rsidRDefault="00F572F4" w:rsidP="00860384">
          <w:pPr>
            <w:pStyle w:val="BodyText"/>
          </w:pPr>
          <w:r>
            <w:t>N.B.: This rubric was designed specifically to work with an academic index where 25 points were previously assigned based on the test score submitted. Consider what total rubric score will integrate most easily into your existing processes. For example, a 36</w:t>
          </w:r>
          <w:r w:rsidR="00086BE4">
            <w:t>-</w:t>
          </w:r>
          <w:r>
            <w:t xml:space="preserve">point rubric would </w:t>
          </w:r>
          <w:r w:rsidR="003626E3">
            <w:t xml:space="preserve">likely </w:t>
          </w:r>
          <w:r>
            <w:t>be eas</w:t>
          </w:r>
          <w:r w:rsidR="003626E3">
            <w:t xml:space="preserve">ier to integrate for primarily ACT institutions. </w:t>
          </w:r>
        </w:p>
        <w:p w14:paraId="61857F4D" w14:textId="36228621" w:rsidR="00062690" w:rsidRPr="00AE2A32" w:rsidRDefault="007A34A9" w:rsidP="007A34A9">
          <w:pPr>
            <w:pStyle w:val="BodyText"/>
          </w:pPr>
          <w:r>
            <w:t>If you would like more support in your efforts to develop a holistic admissions process on campus, please reach out to your Strategic Leader.</w:t>
          </w:r>
        </w:p>
      </w:sdtContent>
    </w:sdt>
    <w:sectPr w:rsidR="00062690" w:rsidRPr="00AE2A32" w:rsidSect="003A2DC2">
      <w:footerReference w:type="default" r:id="rId9"/>
      <w:type w:val="continuous"/>
      <w:pgSz w:w="12240" w:h="15840" w:code="1"/>
      <w:pgMar w:top="720" w:right="936" w:bottom="432" w:left="936"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CEC1" w14:textId="77777777" w:rsidR="00872E7C" w:rsidRDefault="00872E7C" w:rsidP="009E51C7">
      <w:r>
        <w:separator/>
      </w:r>
    </w:p>
    <w:p w14:paraId="0F00A373" w14:textId="77777777" w:rsidR="00872E7C" w:rsidRDefault="00872E7C"/>
  </w:endnote>
  <w:endnote w:type="continuationSeparator" w:id="0">
    <w:p w14:paraId="42FF8085" w14:textId="77777777" w:rsidR="00872E7C" w:rsidRDefault="00872E7C" w:rsidP="009E51C7">
      <w:r>
        <w:continuationSeparator/>
      </w:r>
    </w:p>
    <w:p w14:paraId="5EF23BA4" w14:textId="77777777" w:rsidR="00872E7C" w:rsidRDefault="00872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3B43"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20</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D6D3" w14:textId="77777777" w:rsidR="00872E7C" w:rsidRPr="00791772" w:rsidRDefault="00872E7C" w:rsidP="00791772">
      <w:pPr>
        <w:pStyle w:val="Footer"/>
        <w:rPr>
          <w:sz w:val="10"/>
          <w:szCs w:val="10"/>
        </w:rPr>
      </w:pPr>
    </w:p>
  </w:footnote>
  <w:footnote w:type="continuationSeparator" w:id="0">
    <w:p w14:paraId="435AB0EE" w14:textId="77777777" w:rsidR="00872E7C" w:rsidRDefault="00872E7C" w:rsidP="009E51C7">
      <w:r>
        <w:continuationSeparator/>
      </w:r>
    </w:p>
    <w:p w14:paraId="09427820" w14:textId="77777777" w:rsidR="00872E7C" w:rsidRDefault="00872E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4470"/>
    <w:multiLevelType w:val="multilevel"/>
    <w:tmpl w:val="BAA84AD0"/>
    <w:lvl w:ilvl="0">
      <w:start w:val="1"/>
      <w:numFmt w:val="decimal"/>
      <w:pStyle w:val="ListNumber"/>
      <w:lvlText w:val="%1."/>
      <w:lvlJc w:val="left"/>
      <w:pPr>
        <w:ind w:left="1267" w:hanging="360"/>
      </w:pPr>
      <w:rPr>
        <w:rFonts w:hint="default"/>
        <w:sz w:val="18"/>
      </w:rPr>
    </w:lvl>
    <w:lvl w:ilvl="1">
      <w:start w:val="1"/>
      <w:numFmt w:val="lowerLetter"/>
      <w:lvlText w:val="%2."/>
      <w:lvlJc w:val="left"/>
      <w:pPr>
        <w:ind w:left="1641" w:hanging="360"/>
      </w:pPr>
      <w:rPr>
        <w:rFonts w:hint="default"/>
      </w:rPr>
    </w:lvl>
    <w:lvl w:ilvl="2">
      <w:start w:val="1"/>
      <w:numFmt w:val="lowerRoman"/>
      <w:lvlText w:val="%3."/>
      <w:lvlJc w:val="left"/>
      <w:pPr>
        <w:tabs>
          <w:tab w:val="num" w:pos="3427"/>
        </w:tabs>
        <w:ind w:left="2015" w:hanging="360"/>
      </w:pPr>
      <w:rPr>
        <w:rFonts w:hint="default"/>
      </w:rPr>
    </w:lvl>
    <w:lvl w:ilvl="3">
      <w:start w:val="1"/>
      <w:numFmt w:val="upperLetter"/>
      <w:lvlText w:val="%4."/>
      <w:lvlJc w:val="left"/>
      <w:pPr>
        <w:tabs>
          <w:tab w:val="num" w:pos="3787"/>
        </w:tabs>
        <w:ind w:left="2389" w:hanging="360"/>
      </w:pPr>
      <w:rPr>
        <w:rFonts w:hint="default"/>
      </w:rPr>
    </w:lvl>
    <w:lvl w:ilvl="4">
      <w:start w:val="1"/>
      <w:numFmt w:val="bullet"/>
      <w:lvlText w:val="•"/>
      <w:lvlJc w:val="left"/>
      <w:pPr>
        <w:ind w:left="2763" w:hanging="360"/>
      </w:pPr>
      <w:rPr>
        <w:rFonts w:ascii="Arial" w:hAnsi="Arial" w:hint="default"/>
      </w:rPr>
    </w:lvl>
    <w:lvl w:ilvl="5">
      <w:start w:val="1"/>
      <w:numFmt w:val="bullet"/>
      <w:lvlText w:val="–"/>
      <w:lvlJc w:val="left"/>
      <w:pPr>
        <w:ind w:left="3137" w:hanging="360"/>
      </w:pPr>
      <w:rPr>
        <w:rFonts w:ascii="Verdana" w:hAnsi="Verdana" w:hint="default"/>
      </w:rPr>
    </w:lvl>
    <w:lvl w:ilvl="6">
      <w:start w:val="1"/>
      <w:numFmt w:val="bullet"/>
      <w:lvlText w:val="•"/>
      <w:lvlJc w:val="left"/>
      <w:pPr>
        <w:ind w:left="3511" w:hanging="360"/>
      </w:pPr>
      <w:rPr>
        <w:rFonts w:ascii="Arial" w:hAnsi="Arial" w:hint="default"/>
      </w:rPr>
    </w:lvl>
    <w:lvl w:ilvl="7">
      <w:start w:val="1"/>
      <w:numFmt w:val="bullet"/>
      <w:lvlText w:val="–"/>
      <w:lvlJc w:val="left"/>
      <w:pPr>
        <w:ind w:left="3885" w:hanging="360"/>
      </w:pPr>
      <w:rPr>
        <w:rFonts w:ascii="Verdana" w:hAnsi="Verdana" w:hint="default"/>
      </w:rPr>
    </w:lvl>
    <w:lvl w:ilvl="8">
      <w:start w:val="1"/>
      <w:numFmt w:val="bullet"/>
      <w:lvlText w:val="•"/>
      <w:lvlJc w:val="left"/>
      <w:pPr>
        <w:ind w:left="4259" w:hanging="360"/>
      </w:pPr>
      <w:rPr>
        <w:rFonts w:ascii="Arial" w:hAnsi="Arial" w:hint="default"/>
      </w:rPr>
    </w:lvl>
  </w:abstractNum>
  <w:abstractNum w:abstractNumId="8"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F4776D"/>
    <w:multiLevelType w:val="multilevel"/>
    <w:tmpl w:val="4A1C8320"/>
    <w:lvl w:ilvl="0">
      <w:start w:val="1"/>
      <w:numFmt w:val="bullet"/>
      <w:pStyle w:val="ListBullet"/>
      <w:lvlText w:val="•"/>
      <w:lvlJc w:val="left"/>
      <w:pPr>
        <w:ind w:left="1094" w:hanging="187"/>
      </w:pPr>
      <w:rPr>
        <w:rFonts w:ascii="Arial" w:hAnsi="Arial" w:hint="default"/>
        <w:sz w:val="18"/>
      </w:rPr>
    </w:lvl>
    <w:lvl w:ilvl="1">
      <w:start w:val="1"/>
      <w:numFmt w:val="bullet"/>
      <w:lvlText w:val="–"/>
      <w:lvlJc w:val="left"/>
      <w:pPr>
        <w:ind w:left="1281" w:hanging="187"/>
      </w:pPr>
      <w:rPr>
        <w:rFonts w:ascii="Arial" w:hAnsi="Arial" w:hint="default"/>
      </w:rPr>
    </w:lvl>
    <w:lvl w:ilvl="2">
      <w:start w:val="1"/>
      <w:numFmt w:val="bullet"/>
      <w:lvlText w:val="•"/>
      <w:lvlJc w:val="left"/>
      <w:pPr>
        <w:ind w:left="1468" w:hanging="187"/>
      </w:pPr>
      <w:rPr>
        <w:rFonts w:ascii="Arial" w:hAnsi="Arial" w:hint="default"/>
      </w:rPr>
    </w:lvl>
    <w:lvl w:ilvl="3">
      <w:start w:val="1"/>
      <w:numFmt w:val="bullet"/>
      <w:lvlText w:val="–"/>
      <w:lvlJc w:val="left"/>
      <w:pPr>
        <w:ind w:left="1655" w:hanging="187"/>
      </w:pPr>
      <w:rPr>
        <w:rFonts w:ascii="Verdana" w:hAnsi="Verdana" w:hint="default"/>
      </w:rPr>
    </w:lvl>
    <w:lvl w:ilvl="4">
      <w:start w:val="1"/>
      <w:numFmt w:val="bullet"/>
      <w:lvlText w:val="•"/>
      <w:lvlJc w:val="left"/>
      <w:pPr>
        <w:ind w:left="1842" w:hanging="187"/>
      </w:pPr>
      <w:rPr>
        <w:rFonts w:ascii="Arial" w:hAnsi="Arial" w:hint="default"/>
      </w:rPr>
    </w:lvl>
    <w:lvl w:ilvl="5">
      <w:start w:val="1"/>
      <w:numFmt w:val="bullet"/>
      <w:lvlText w:val="–"/>
      <w:lvlJc w:val="left"/>
      <w:pPr>
        <w:ind w:left="2029" w:hanging="187"/>
      </w:pPr>
      <w:rPr>
        <w:rFonts w:ascii="Verdana" w:hAnsi="Verdana" w:hint="default"/>
      </w:rPr>
    </w:lvl>
    <w:lvl w:ilvl="6">
      <w:start w:val="1"/>
      <w:numFmt w:val="bullet"/>
      <w:lvlText w:val="•"/>
      <w:lvlJc w:val="left"/>
      <w:pPr>
        <w:ind w:left="2216" w:hanging="187"/>
      </w:pPr>
      <w:rPr>
        <w:rFonts w:ascii="Arial" w:hAnsi="Arial" w:hint="default"/>
      </w:rPr>
    </w:lvl>
    <w:lvl w:ilvl="7">
      <w:start w:val="1"/>
      <w:numFmt w:val="bullet"/>
      <w:lvlText w:val="–"/>
      <w:lvlJc w:val="left"/>
      <w:pPr>
        <w:ind w:left="2403" w:hanging="187"/>
      </w:pPr>
      <w:rPr>
        <w:rFonts w:ascii="Verdana" w:hAnsi="Verdana" w:hint="default"/>
      </w:rPr>
    </w:lvl>
    <w:lvl w:ilvl="8">
      <w:start w:val="1"/>
      <w:numFmt w:val="bullet"/>
      <w:lvlText w:val="•"/>
      <w:lvlJc w:val="left"/>
      <w:pPr>
        <w:ind w:left="2590" w:hanging="187"/>
      </w:pPr>
      <w:rPr>
        <w:rFonts w:ascii="Arial" w:hAnsi="Arial" w:hint="default"/>
      </w:rPr>
    </w:lvl>
  </w:abstractNum>
  <w:abstractNum w:abstractNumId="10"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C15EF"/>
    <w:multiLevelType w:val="hybridMultilevel"/>
    <w:tmpl w:val="2B18A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1"/>
  </w:num>
  <w:num w:numId="9">
    <w:abstractNumId w:val="11"/>
  </w:num>
  <w:num w:numId="10">
    <w:abstractNumId w:val="12"/>
  </w:num>
  <w:num w:numId="11">
    <w:abstractNumId w:val="13"/>
  </w:num>
  <w:num w:numId="12">
    <w:abstractNumId w:val="3"/>
  </w:num>
  <w:num w:numId="13">
    <w:abstractNumId w:val="8"/>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84"/>
    <w:rsid w:val="000071A1"/>
    <w:rsid w:val="00011D25"/>
    <w:rsid w:val="0002719B"/>
    <w:rsid w:val="0003039A"/>
    <w:rsid w:val="00034A6B"/>
    <w:rsid w:val="000465DC"/>
    <w:rsid w:val="0005052C"/>
    <w:rsid w:val="00057FCA"/>
    <w:rsid w:val="00062690"/>
    <w:rsid w:val="00067394"/>
    <w:rsid w:val="00077268"/>
    <w:rsid w:val="0008000B"/>
    <w:rsid w:val="000818CE"/>
    <w:rsid w:val="00086BE4"/>
    <w:rsid w:val="00097927"/>
    <w:rsid w:val="000A251C"/>
    <w:rsid w:val="000A3FA1"/>
    <w:rsid w:val="000A6311"/>
    <w:rsid w:val="000E3018"/>
    <w:rsid w:val="00107803"/>
    <w:rsid w:val="0014540D"/>
    <w:rsid w:val="001514C1"/>
    <w:rsid w:val="00163B5B"/>
    <w:rsid w:val="0017292B"/>
    <w:rsid w:val="0017702A"/>
    <w:rsid w:val="0018147B"/>
    <w:rsid w:val="00186A19"/>
    <w:rsid w:val="0019055E"/>
    <w:rsid w:val="00190AF3"/>
    <w:rsid w:val="001A742D"/>
    <w:rsid w:val="001B133E"/>
    <w:rsid w:val="001C226B"/>
    <w:rsid w:val="001D3D1F"/>
    <w:rsid w:val="0020277E"/>
    <w:rsid w:val="00207B46"/>
    <w:rsid w:val="002137A7"/>
    <w:rsid w:val="00220C74"/>
    <w:rsid w:val="00251532"/>
    <w:rsid w:val="002533BA"/>
    <w:rsid w:val="0028509C"/>
    <w:rsid w:val="0029158A"/>
    <w:rsid w:val="002A29A3"/>
    <w:rsid w:val="002C0142"/>
    <w:rsid w:val="002C45D1"/>
    <w:rsid w:val="002C4BBD"/>
    <w:rsid w:val="002E56A7"/>
    <w:rsid w:val="00300DEF"/>
    <w:rsid w:val="00312180"/>
    <w:rsid w:val="00313E29"/>
    <w:rsid w:val="00330C45"/>
    <w:rsid w:val="00332775"/>
    <w:rsid w:val="00334422"/>
    <w:rsid w:val="00342301"/>
    <w:rsid w:val="00352357"/>
    <w:rsid w:val="003626E3"/>
    <w:rsid w:val="00393BA2"/>
    <w:rsid w:val="003A2DC2"/>
    <w:rsid w:val="003C3C35"/>
    <w:rsid w:val="003E53B2"/>
    <w:rsid w:val="004430AE"/>
    <w:rsid w:val="004524E5"/>
    <w:rsid w:val="00452EDA"/>
    <w:rsid w:val="00452FBA"/>
    <w:rsid w:val="00456CB2"/>
    <w:rsid w:val="00461DF1"/>
    <w:rsid w:val="00474601"/>
    <w:rsid w:val="004A164F"/>
    <w:rsid w:val="004A167E"/>
    <w:rsid w:val="004B11FB"/>
    <w:rsid w:val="004B3B41"/>
    <w:rsid w:val="004C407F"/>
    <w:rsid w:val="004C5985"/>
    <w:rsid w:val="004D0A81"/>
    <w:rsid w:val="004D1515"/>
    <w:rsid w:val="004E4109"/>
    <w:rsid w:val="004F6279"/>
    <w:rsid w:val="0051407E"/>
    <w:rsid w:val="00523343"/>
    <w:rsid w:val="00524B3E"/>
    <w:rsid w:val="00544589"/>
    <w:rsid w:val="00585ECA"/>
    <w:rsid w:val="00591707"/>
    <w:rsid w:val="005A4210"/>
    <w:rsid w:val="005C0C54"/>
    <w:rsid w:val="005C72AC"/>
    <w:rsid w:val="005C7EF7"/>
    <w:rsid w:val="005D3CAB"/>
    <w:rsid w:val="005E2A05"/>
    <w:rsid w:val="005E7750"/>
    <w:rsid w:val="005F0098"/>
    <w:rsid w:val="005F03C1"/>
    <w:rsid w:val="006067BA"/>
    <w:rsid w:val="00654FCE"/>
    <w:rsid w:val="006832FE"/>
    <w:rsid w:val="0069220C"/>
    <w:rsid w:val="006B5327"/>
    <w:rsid w:val="006B5852"/>
    <w:rsid w:val="006C3AE3"/>
    <w:rsid w:val="006D2035"/>
    <w:rsid w:val="006D3695"/>
    <w:rsid w:val="006D4AD8"/>
    <w:rsid w:val="00705C15"/>
    <w:rsid w:val="00706FF9"/>
    <w:rsid w:val="00751D77"/>
    <w:rsid w:val="00752E1B"/>
    <w:rsid w:val="00756257"/>
    <w:rsid w:val="00773751"/>
    <w:rsid w:val="007847E9"/>
    <w:rsid w:val="00791772"/>
    <w:rsid w:val="007975B2"/>
    <w:rsid w:val="007A090A"/>
    <w:rsid w:val="007A34A9"/>
    <w:rsid w:val="007B018A"/>
    <w:rsid w:val="007B62F6"/>
    <w:rsid w:val="007C5171"/>
    <w:rsid w:val="007D233E"/>
    <w:rsid w:val="007D4D16"/>
    <w:rsid w:val="007E7B6A"/>
    <w:rsid w:val="00803999"/>
    <w:rsid w:val="0080522F"/>
    <w:rsid w:val="00805BB0"/>
    <w:rsid w:val="00810D67"/>
    <w:rsid w:val="00834C53"/>
    <w:rsid w:val="0085649A"/>
    <w:rsid w:val="00860384"/>
    <w:rsid w:val="00860A0B"/>
    <w:rsid w:val="00861834"/>
    <w:rsid w:val="008637CA"/>
    <w:rsid w:val="0087068A"/>
    <w:rsid w:val="00872E7C"/>
    <w:rsid w:val="00875608"/>
    <w:rsid w:val="00890A66"/>
    <w:rsid w:val="008A634B"/>
    <w:rsid w:val="008A6F5A"/>
    <w:rsid w:val="008C774A"/>
    <w:rsid w:val="008D2D9E"/>
    <w:rsid w:val="008D5ADF"/>
    <w:rsid w:val="008E11E5"/>
    <w:rsid w:val="008F63D2"/>
    <w:rsid w:val="00911C48"/>
    <w:rsid w:val="0092611A"/>
    <w:rsid w:val="00962F12"/>
    <w:rsid w:val="00980888"/>
    <w:rsid w:val="0099010F"/>
    <w:rsid w:val="00993CCE"/>
    <w:rsid w:val="00995912"/>
    <w:rsid w:val="009A35DF"/>
    <w:rsid w:val="009D1BBA"/>
    <w:rsid w:val="009D40B0"/>
    <w:rsid w:val="009E51C7"/>
    <w:rsid w:val="009F2B28"/>
    <w:rsid w:val="009F4310"/>
    <w:rsid w:val="00A3497D"/>
    <w:rsid w:val="00A43207"/>
    <w:rsid w:val="00A56531"/>
    <w:rsid w:val="00A6290D"/>
    <w:rsid w:val="00AB169E"/>
    <w:rsid w:val="00AD0C5A"/>
    <w:rsid w:val="00AD0E0E"/>
    <w:rsid w:val="00AE2A32"/>
    <w:rsid w:val="00AE6B0C"/>
    <w:rsid w:val="00AF1D23"/>
    <w:rsid w:val="00B06293"/>
    <w:rsid w:val="00B0709F"/>
    <w:rsid w:val="00B1112E"/>
    <w:rsid w:val="00B23C36"/>
    <w:rsid w:val="00B26543"/>
    <w:rsid w:val="00B30DFB"/>
    <w:rsid w:val="00B31CF5"/>
    <w:rsid w:val="00B579B4"/>
    <w:rsid w:val="00B71EB6"/>
    <w:rsid w:val="00B95357"/>
    <w:rsid w:val="00BB2590"/>
    <w:rsid w:val="00BB40B4"/>
    <w:rsid w:val="00BB5071"/>
    <w:rsid w:val="00BD77EA"/>
    <w:rsid w:val="00BD795A"/>
    <w:rsid w:val="00BF3E75"/>
    <w:rsid w:val="00C05CBB"/>
    <w:rsid w:val="00C229DE"/>
    <w:rsid w:val="00C46749"/>
    <w:rsid w:val="00C67584"/>
    <w:rsid w:val="00C74D9F"/>
    <w:rsid w:val="00C81313"/>
    <w:rsid w:val="00C921EB"/>
    <w:rsid w:val="00CA1BA5"/>
    <w:rsid w:val="00CA706A"/>
    <w:rsid w:val="00CB6EFD"/>
    <w:rsid w:val="00CC796D"/>
    <w:rsid w:val="00CD54F9"/>
    <w:rsid w:val="00CE1A07"/>
    <w:rsid w:val="00D1536A"/>
    <w:rsid w:val="00D25471"/>
    <w:rsid w:val="00D335CE"/>
    <w:rsid w:val="00D44309"/>
    <w:rsid w:val="00D46C2A"/>
    <w:rsid w:val="00D571D5"/>
    <w:rsid w:val="00D733D0"/>
    <w:rsid w:val="00D80BE9"/>
    <w:rsid w:val="00DD3EEF"/>
    <w:rsid w:val="00DE49A3"/>
    <w:rsid w:val="00DF4B63"/>
    <w:rsid w:val="00E21CEA"/>
    <w:rsid w:val="00E32C46"/>
    <w:rsid w:val="00E35430"/>
    <w:rsid w:val="00E61FA6"/>
    <w:rsid w:val="00EC02C5"/>
    <w:rsid w:val="00F10612"/>
    <w:rsid w:val="00F304F1"/>
    <w:rsid w:val="00F572F4"/>
    <w:rsid w:val="00F718E4"/>
    <w:rsid w:val="00F72FE3"/>
    <w:rsid w:val="00F77C6C"/>
    <w:rsid w:val="00F95D40"/>
    <w:rsid w:val="00FA5305"/>
    <w:rsid w:val="00FA7EB9"/>
    <w:rsid w:val="00FB3A12"/>
    <w:rsid w:val="00FB5404"/>
    <w:rsid w:val="00FB6B66"/>
    <w:rsid w:val="00FC5880"/>
    <w:rsid w:val="00FD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59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190AF3"/>
    <w:pPr>
      <w:keepNext/>
      <w:keepLines/>
      <w:suppressAutoHyphens/>
      <w:spacing w:before="400"/>
      <w:ind w:left="7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FD71BE"/>
    <w:pPr>
      <w:keepNext/>
      <w:keepLines/>
      <w:suppressAutoHyphens/>
      <w:spacing w:before="360" w:after="60"/>
      <w:ind w:left="7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FD71BE"/>
    <w:pPr>
      <w:keepNext/>
      <w:keepLines/>
      <w:suppressAutoHyphens/>
      <w:spacing w:before="6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190AF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FD71BE"/>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FD71BE"/>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190AF3"/>
    <w:pPr>
      <w:suppressAutoHyphens/>
      <w:spacing w:before="160" w:line="288" w:lineRule="auto"/>
      <w:ind w:left="720"/>
    </w:pPr>
  </w:style>
  <w:style w:type="character" w:customStyle="1" w:styleId="BodyTextChar">
    <w:name w:val="Body Text Char"/>
    <w:aliases w:val="EAB Section Text Char"/>
    <w:basedOn w:val="DefaultParagraphFont"/>
    <w:link w:val="BodyText"/>
    <w:uiPriority w:val="1"/>
    <w:rsid w:val="00190AF3"/>
  </w:style>
  <w:style w:type="paragraph" w:styleId="ListBullet">
    <w:name w:val="List Bullet"/>
    <w:aliases w:val="EAB Section Bullets"/>
    <w:basedOn w:val="Normal"/>
    <w:uiPriority w:val="2"/>
    <w:qFormat/>
    <w:rsid w:val="00FD71BE"/>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FD71BE"/>
    <w:pPr>
      <w:suppressAutoHyphens/>
      <w:spacing w:before="160"/>
      <w:ind w:left="7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semiHidden/>
    <w:qFormat/>
    <w:rsid w:val="000A251C"/>
    <w:pPr>
      <w:ind w:left="720"/>
      <w:contextualSpacing/>
    </w:pPr>
  </w:style>
  <w:style w:type="paragraph" w:styleId="BalloonText">
    <w:name w:val="Balloon Text"/>
    <w:basedOn w:val="Normal"/>
    <w:link w:val="BalloonTextChar"/>
    <w:uiPriority w:val="99"/>
    <w:semiHidden/>
    <w:unhideWhenUsed/>
    <w:rsid w:val="003626E3"/>
    <w:rPr>
      <w:rFonts w:ascii="Segoe UI" w:hAnsi="Segoe UI" w:cs="Segoe UI"/>
    </w:rPr>
  </w:style>
  <w:style w:type="character" w:customStyle="1" w:styleId="BalloonTextChar">
    <w:name w:val="Balloon Text Char"/>
    <w:basedOn w:val="DefaultParagraphFont"/>
    <w:link w:val="BalloonText"/>
    <w:uiPriority w:val="99"/>
    <w:semiHidden/>
    <w:rsid w:val="003626E3"/>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801">
      <w:bodyDiv w:val="1"/>
      <w:marLeft w:val="0"/>
      <w:marRight w:val="0"/>
      <w:marTop w:val="0"/>
      <w:marBottom w:val="0"/>
      <w:divBdr>
        <w:top w:val="none" w:sz="0" w:space="0" w:color="auto"/>
        <w:left w:val="none" w:sz="0" w:space="0" w:color="auto"/>
        <w:bottom w:val="none" w:sz="0" w:space="0" w:color="auto"/>
        <w:right w:val="none" w:sz="0" w:space="0" w:color="auto"/>
      </w:divBdr>
    </w:div>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 w:id="13300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alk\AppData\Local\Packages\Microsoft.MicrosoftEdge_8wekyb3d8bbwe\TempState\Downloads\EAB2%20Secondary%20wLogo%20010820%20(5).dotm" TargetMode="External"/></Relationship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161A75-15F2-4DFD-8D22-F052386C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 Secondary wLogo 010820 (5)</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2020-10-21T19:50:00Z</dcterms:created>
  <dcterms:modified xsi:type="dcterms:W3CDTF">2020-10-21T19:50:00Z</dcterms:modified>
</cp:coreProperties>
</file>